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EFD42" w14:textId="77777777" w:rsidR="009A7EF0" w:rsidRDefault="00000000">
      <w:pPr>
        <w:pStyle w:val="a3"/>
        <w:overflowPunct w:val="0"/>
        <w:adjustRightInd w:val="0"/>
        <w:snapToGrid w:val="0"/>
        <w:spacing w:line="600" w:lineRule="exact"/>
        <w:jc w:val="both"/>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 xml:space="preserve"> 3</w:t>
      </w:r>
    </w:p>
    <w:p w14:paraId="42C68686" w14:textId="77777777" w:rsidR="009A7EF0" w:rsidRDefault="00000000">
      <w:pPr>
        <w:pStyle w:val="a3"/>
        <w:tabs>
          <w:tab w:val="left" w:pos="7513"/>
        </w:tabs>
        <w:overflowPunct w:val="0"/>
        <w:adjustRightInd w:val="0"/>
        <w:snapToGrid w:val="0"/>
        <w:spacing w:line="600" w:lineRule="exact"/>
        <w:ind w:left="0"/>
        <w:jc w:val="center"/>
        <w:rPr>
          <w:rFonts w:ascii="方正大标宋简体" w:eastAsia="方正大标宋简体" w:hAnsi="Times New Roman"/>
          <w:sz w:val="44"/>
          <w:szCs w:val="32"/>
        </w:rPr>
      </w:pPr>
      <w:r>
        <w:rPr>
          <w:rFonts w:ascii="方正大标宋简体" w:eastAsia="方正大标宋简体" w:hAnsi="Times New Roman"/>
          <w:sz w:val="44"/>
          <w:szCs w:val="32"/>
        </w:rPr>
        <w:t>评价指标具体计算方式</w:t>
      </w:r>
    </w:p>
    <w:p w14:paraId="55238956" w14:textId="77777777" w:rsidR="009A7EF0" w:rsidRDefault="009A7EF0">
      <w:pPr>
        <w:pStyle w:val="a3"/>
        <w:tabs>
          <w:tab w:val="left" w:pos="7513"/>
        </w:tabs>
        <w:overflowPunct w:val="0"/>
        <w:adjustRightInd w:val="0"/>
        <w:snapToGrid w:val="0"/>
        <w:spacing w:line="600" w:lineRule="exact"/>
        <w:ind w:left="0" w:firstLineChars="200" w:firstLine="640"/>
        <w:jc w:val="both"/>
        <w:rPr>
          <w:rFonts w:ascii="Times New Roman" w:eastAsia="仿宋" w:hAnsi="Times New Roman"/>
          <w:sz w:val="32"/>
          <w:szCs w:val="32"/>
        </w:rPr>
      </w:pPr>
    </w:p>
    <w:p w14:paraId="4F588D18" w14:textId="77777777" w:rsidR="009A7EF0" w:rsidRDefault="00000000">
      <w:pPr>
        <w:pStyle w:val="a3"/>
        <w:tabs>
          <w:tab w:val="left" w:pos="7513"/>
        </w:tabs>
        <w:overflowPunct w:val="0"/>
        <w:adjustRightInd w:val="0"/>
        <w:snapToGrid w:val="0"/>
        <w:spacing w:line="600" w:lineRule="exact"/>
        <w:ind w:left="0" w:firstLineChars="200" w:firstLine="640"/>
        <w:jc w:val="both"/>
        <w:rPr>
          <w:rFonts w:ascii="Times New Roman" w:eastAsia="仿宋" w:hAnsi="Times New Roman"/>
          <w:sz w:val="32"/>
          <w:szCs w:val="32"/>
        </w:rPr>
      </w:pPr>
      <w:r>
        <w:rPr>
          <w:rFonts w:ascii="Times New Roman" w:eastAsia="仿宋" w:hAnsi="Times New Roman" w:hint="eastAsia"/>
          <w:sz w:val="32"/>
          <w:szCs w:val="32"/>
        </w:rPr>
        <w:t>1.</w:t>
      </w:r>
      <w:r>
        <w:rPr>
          <w:rFonts w:ascii="Times New Roman" w:eastAsia="仿宋" w:hAnsi="Times New Roman"/>
          <w:sz w:val="32"/>
          <w:szCs w:val="32"/>
        </w:rPr>
        <w:t xml:space="preserve"> </w:t>
      </w:r>
      <w:proofErr w:type="gramStart"/>
      <w:r>
        <w:rPr>
          <w:rFonts w:ascii="Times New Roman" w:eastAsia="仿宋" w:hAnsi="Times New Roman"/>
          <w:sz w:val="32"/>
          <w:szCs w:val="32"/>
        </w:rPr>
        <w:t>扣非归母净</w:t>
      </w:r>
      <w:proofErr w:type="gramEnd"/>
      <w:r>
        <w:rPr>
          <w:rFonts w:ascii="Times New Roman" w:eastAsia="仿宋" w:hAnsi="Times New Roman"/>
          <w:sz w:val="32"/>
          <w:szCs w:val="32"/>
        </w:rPr>
        <w:t>利润规模指标，根据公司年报披露的</w:t>
      </w:r>
      <w:r>
        <w:rPr>
          <w:rFonts w:ascii="Times New Roman" w:eastAsia="仿宋" w:hAnsi="Times New Roman"/>
          <w:sz w:val="32"/>
          <w:szCs w:val="32"/>
        </w:rPr>
        <w:t>“</w:t>
      </w:r>
      <w:r>
        <w:rPr>
          <w:rFonts w:ascii="Times New Roman" w:eastAsia="仿宋" w:hAnsi="Times New Roman"/>
          <w:sz w:val="32"/>
          <w:szCs w:val="32"/>
        </w:rPr>
        <w:t>归属于上市公司股东的扣除非经常性损益后的净利润</w:t>
      </w:r>
      <w:r>
        <w:rPr>
          <w:rFonts w:ascii="Times New Roman" w:eastAsia="仿宋" w:hAnsi="Times New Roman"/>
          <w:sz w:val="32"/>
          <w:szCs w:val="32"/>
        </w:rPr>
        <w:t>”</w:t>
      </w:r>
      <w:r>
        <w:rPr>
          <w:rFonts w:ascii="Times New Roman" w:eastAsia="仿宋" w:hAnsi="Times New Roman"/>
          <w:sz w:val="32"/>
          <w:szCs w:val="32"/>
        </w:rPr>
        <w:t>的本期金额计算。</w:t>
      </w:r>
    </w:p>
    <w:p w14:paraId="1329BE4B" w14:textId="77777777" w:rsidR="009A7EF0" w:rsidRDefault="00000000">
      <w:pPr>
        <w:pStyle w:val="a3"/>
        <w:tabs>
          <w:tab w:val="left" w:pos="7513"/>
        </w:tabs>
        <w:overflowPunct w:val="0"/>
        <w:adjustRightInd w:val="0"/>
        <w:snapToGrid w:val="0"/>
        <w:spacing w:line="600" w:lineRule="exact"/>
        <w:ind w:left="0" w:firstLineChars="200" w:firstLine="640"/>
        <w:jc w:val="both"/>
        <w:rPr>
          <w:rFonts w:ascii="Times New Roman" w:eastAsia="仿宋" w:hAnsi="Times New Roman"/>
          <w:sz w:val="32"/>
          <w:szCs w:val="32"/>
        </w:rPr>
      </w:pPr>
      <w:r>
        <w:rPr>
          <w:rFonts w:ascii="Times New Roman" w:eastAsia="仿宋" w:hAnsi="Times New Roman" w:hint="eastAsia"/>
          <w:sz w:val="32"/>
          <w:szCs w:val="32"/>
        </w:rPr>
        <w:t>2.</w:t>
      </w:r>
      <w:r>
        <w:rPr>
          <w:rFonts w:ascii="Times New Roman" w:eastAsia="仿宋" w:hAnsi="Times New Roman"/>
          <w:sz w:val="32"/>
          <w:szCs w:val="32"/>
        </w:rPr>
        <w:t xml:space="preserve"> </w:t>
      </w:r>
      <w:r>
        <w:rPr>
          <w:rFonts w:ascii="Times New Roman" w:eastAsia="仿宋" w:hAnsi="Times New Roman"/>
          <w:sz w:val="32"/>
          <w:szCs w:val="32"/>
        </w:rPr>
        <w:t>经营活动净</w:t>
      </w:r>
      <w:proofErr w:type="gramStart"/>
      <w:r>
        <w:rPr>
          <w:rFonts w:ascii="Times New Roman" w:eastAsia="仿宋" w:hAnsi="Times New Roman"/>
          <w:sz w:val="32"/>
          <w:szCs w:val="32"/>
        </w:rPr>
        <w:t>现金流占营业</w:t>
      </w:r>
      <w:proofErr w:type="gramEnd"/>
      <w:r>
        <w:rPr>
          <w:rFonts w:ascii="Times New Roman" w:eastAsia="仿宋" w:hAnsi="Times New Roman"/>
          <w:sz w:val="32"/>
          <w:szCs w:val="32"/>
        </w:rPr>
        <w:t>收入比重指标，根据公司年报现金流量表中</w:t>
      </w:r>
      <w:r>
        <w:rPr>
          <w:rFonts w:ascii="Times New Roman" w:eastAsia="仿宋" w:hAnsi="Times New Roman"/>
          <w:sz w:val="32"/>
          <w:szCs w:val="32"/>
        </w:rPr>
        <w:t>“</w:t>
      </w:r>
      <w:r>
        <w:rPr>
          <w:rFonts w:ascii="Times New Roman" w:eastAsia="仿宋" w:hAnsi="Times New Roman"/>
          <w:sz w:val="32"/>
          <w:szCs w:val="32"/>
        </w:rPr>
        <w:t>经营活动产生的现金流量净额</w:t>
      </w:r>
      <w:r>
        <w:rPr>
          <w:rFonts w:ascii="Times New Roman" w:eastAsia="仿宋" w:hAnsi="Times New Roman"/>
          <w:sz w:val="32"/>
          <w:szCs w:val="32"/>
        </w:rPr>
        <w:t>”</w:t>
      </w:r>
      <w:r>
        <w:rPr>
          <w:rFonts w:ascii="Times New Roman" w:eastAsia="仿宋" w:hAnsi="Times New Roman"/>
          <w:sz w:val="32"/>
          <w:szCs w:val="32"/>
        </w:rPr>
        <w:t>项目的本期发生额，除以公司年报利润表中</w:t>
      </w:r>
      <w:r>
        <w:rPr>
          <w:rFonts w:ascii="Times New Roman" w:eastAsia="仿宋" w:hAnsi="Times New Roman"/>
          <w:sz w:val="32"/>
          <w:szCs w:val="32"/>
        </w:rPr>
        <w:t>“</w:t>
      </w:r>
      <w:r>
        <w:rPr>
          <w:rFonts w:ascii="Times New Roman" w:eastAsia="仿宋" w:hAnsi="Times New Roman"/>
          <w:sz w:val="32"/>
          <w:szCs w:val="32"/>
        </w:rPr>
        <w:t>营业收入</w:t>
      </w:r>
      <w:r>
        <w:rPr>
          <w:rFonts w:ascii="Times New Roman" w:eastAsia="仿宋" w:hAnsi="Times New Roman"/>
          <w:sz w:val="32"/>
          <w:szCs w:val="32"/>
        </w:rPr>
        <w:t>”</w:t>
      </w:r>
      <w:r>
        <w:rPr>
          <w:rFonts w:ascii="Times New Roman" w:eastAsia="仿宋" w:hAnsi="Times New Roman"/>
          <w:sz w:val="32"/>
          <w:szCs w:val="32"/>
        </w:rPr>
        <w:t>项目的本期发生额计算。</w:t>
      </w:r>
    </w:p>
    <w:p w14:paraId="4375FE4A" w14:textId="77777777" w:rsidR="009A7EF0" w:rsidRDefault="00000000">
      <w:pPr>
        <w:pStyle w:val="a3"/>
        <w:tabs>
          <w:tab w:val="left" w:pos="7513"/>
        </w:tabs>
        <w:overflowPunct w:val="0"/>
        <w:adjustRightInd w:val="0"/>
        <w:snapToGrid w:val="0"/>
        <w:spacing w:line="600" w:lineRule="exact"/>
        <w:ind w:left="0" w:firstLineChars="200" w:firstLine="640"/>
        <w:jc w:val="both"/>
        <w:rPr>
          <w:rFonts w:ascii="Times New Roman" w:eastAsia="仿宋" w:hAnsi="Times New Roman"/>
          <w:sz w:val="32"/>
          <w:szCs w:val="32"/>
        </w:rPr>
      </w:pPr>
      <w:r>
        <w:rPr>
          <w:rFonts w:ascii="Times New Roman" w:eastAsia="仿宋" w:hAnsi="Times New Roman" w:hint="eastAsia"/>
          <w:sz w:val="32"/>
          <w:szCs w:val="32"/>
        </w:rPr>
        <w:t xml:space="preserve">3. </w:t>
      </w:r>
      <w:r>
        <w:rPr>
          <w:rFonts w:ascii="Times New Roman" w:eastAsia="仿宋" w:hAnsi="Times New Roman"/>
          <w:sz w:val="32"/>
          <w:szCs w:val="32"/>
        </w:rPr>
        <w:t>销售净利率指标，根据公司年报利润表中</w:t>
      </w:r>
      <w:r>
        <w:rPr>
          <w:rFonts w:ascii="Times New Roman" w:eastAsia="仿宋" w:hAnsi="Times New Roman"/>
          <w:sz w:val="32"/>
          <w:szCs w:val="32"/>
        </w:rPr>
        <w:t>“</w:t>
      </w:r>
      <w:r>
        <w:rPr>
          <w:rFonts w:ascii="Times New Roman" w:eastAsia="仿宋" w:hAnsi="Times New Roman"/>
          <w:sz w:val="32"/>
          <w:szCs w:val="32"/>
        </w:rPr>
        <w:t>净利润</w:t>
      </w:r>
      <w:r>
        <w:rPr>
          <w:rFonts w:ascii="Times New Roman" w:eastAsia="仿宋" w:hAnsi="Times New Roman"/>
          <w:sz w:val="32"/>
          <w:szCs w:val="32"/>
        </w:rPr>
        <w:t>”</w:t>
      </w:r>
      <w:r>
        <w:rPr>
          <w:rFonts w:ascii="Times New Roman" w:eastAsia="仿宋" w:hAnsi="Times New Roman"/>
          <w:sz w:val="32"/>
          <w:szCs w:val="32"/>
        </w:rPr>
        <w:t>项目的本期金额，除以公司年报利润表中</w:t>
      </w:r>
      <w:r>
        <w:rPr>
          <w:rFonts w:ascii="Times New Roman" w:eastAsia="仿宋" w:hAnsi="Times New Roman"/>
          <w:sz w:val="32"/>
          <w:szCs w:val="32"/>
        </w:rPr>
        <w:t>“</w:t>
      </w:r>
      <w:r>
        <w:rPr>
          <w:rFonts w:ascii="Times New Roman" w:eastAsia="仿宋" w:hAnsi="Times New Roman"/>
          <w:sz w:val="32"/>
          <w:szCs w:val="32"/>
        </w:rPr>
        <w:t>营业收入</w:t>
      </w:r>
      <w:r>
        <w:rPr>
          <w:rFonts w:ascii="Times New Roman" w:eastAsia="仿宋" w:hAnsi="Times New Roman"/>
          <w:sz w:val="32"/>
          <w:szCs w:val="32"/>
        </w:rPr>
        <w:t>”</w:t>
      </w:r>
      <w:r>
        <w:rPr>
          <w:rFonts w:ascii="Times New Roman" w:eastAsia="仿宋" w:hAnsi="Times New Roman"/>
          <w:sz w:val="32"/>
          <w:szCs w:val="32"/>
        </w:rPr>
        <w:t>项目的本期发生额计算。</w:t>
      </w:r>
    </w:p>
    <w:p w14:paraId="20A93BD2" w14:textId="77777777" w:rsidR="009A7EF0" w:rsidRDefault="00000000">
      <w:pPr>
        <w:pStyle w:val="a3"/>
        <w:tabs>
          <w:tab w:val="left" w:pos="7513"/>
        </w:tabs>
        <w:overflowPunct w:val="0"/>
        <w:adjustRightInd w:val="0"/>
        <w:snapToGrid w:val="0"/>
        <w:spacing w:line="600" w:lineRule="exact"/>
        <w:ind w:left="0" w:firstLineChars="200" w:firstLine="640"/>
        <w:jc w:val="both"/>
        <w:rPr>
          <w:rFonts w:ascii="Times New Roman" w:eastAsia="仿宋" w:hAnsi="Times New Roman"/>
          <w:sz w:val="32"/>
          <w:szCs w:val="32"/>
        </w:rPr>
      </w:pPr>
      <w:r>
        <w:rPr>
          <w:rFonts w:ascii="Times New Roman" w:eastAsia="仿宋" w:hAnsi="Times New Roman" w:hint="eastAsia"/>
          <w:sz w:val="32"/>
          <w:szCs w:val="32"/>
        </w:rPr>
        <w:t xml:space="preserve">4. </w:t>
      </w:r>
      <w:r>
        <w:rPr>
          <w:rFonts w:ascii="Times New Roman" w:eastAsia="仿宋" w:hAnsi="Times New Roman"/>
          <w:sz w:val="32"/>
          <w:szCs w:val="32"/>
        </w:rPr>
        <w:t>净资产收益率指标，根据公司年报利润表中</w:t>
      </w:r>
      <w:r>
        <w:rPr>
          <w:rFonts w:ascii="Times New Roman" w:eastAsia="仿宋" w:hAnsi="Times New Roman"/>
          <w:sz w:val="32"/>
          <w:szCs w:val="32"/>
        </w:rPr>
        <w:t>“</w:t>
      </w:r>
      <w:r>
        <w:rPr>
          <w:rFonts w:ascii="Times New Roman" w:eastAsia="仿宋" w:hAnsi="Times New Roman"/>
          <w:sz w:val="32"/>
          <w:szCs w:val="32"/>
        </w:rPr>
        <w:t>归属于母公司</w:t>
      </w:r>
      <w:r>
        <w:rPr>
          <w:rFonts w:ascii="Times New Roman" w:eastAsia="仿宋" w:hAnsi="Times New Roman" w:hint="eastAsia"/>
          <w:sz w:val="32"/>
          <w:szCs w:val="32"/>
        </w:rPr>
        <w:t>所有者</w:t>
      </w:r>
      <w:r>
        <w:rPr>
          <w:rFonts w:ascii="Times New Roman" w:eastAsia="仿宋" w:hAnsi="Times New Roman"/>
          <w:sz w:val="32"/>
          <w:szCs w:val="32"/>
        </w:rPr>
        <w:t>的净利润</w:t>
      </w:r>
      <w:r>
        <w:rPr>
          <w:rFonts w:ascii="Times New Roman" w:eastAsia="仿宋" w:hAnsi="Times New Roman"/>
          <w:sz w:val="32"/>
          <w:szCs w:val="32"/>
        </w:rPr>
        <w:t>”</w:t>
      </w:r>
      <w:r>
        <w:rPr>
          <w:rFonts w:ascii="Times New Roman" w:eastAsia="仿宋" w:hAnsi="Times New Roman"/>
          <w:sz w:val="32"/>
          <w:szCs w:val="32"/>
        </w:rPr>
        <w:t>项目的本期金额，除以公司年报</w:t>
      </w:r>
      <w:r>
        <w:rPr>
          <w:rFonts w:ascii="Times New Roman" w:eastAsia="仿宋" w:hAnsi="Times New Roman" w:hint="eastAsia"/>
          <w:sz w:val="32"/>
          <w:szCs w:val="32"/>
        </w:rPr>
        <w:t>资产负债表</w:t>
      </w:r>
      <w:r>
        <w:rPr>
          <w:rFonts w:ascii="Times New Roman" w:eastAsia="仿宋" w:hAnsi="Times New Roman"/>
          <w:sz w:val="32"/>
          <w:szCs w:val="32"/>
        </w:rPr>
        <w:t>中</w:t>
      </w:r>
      <w:r>
        <w:rPr>
          <w:rFonts w:ascii="Times New Roman" w:eastAsia="仿宋" w:hAnsi="Times New Roman"/>
          <w:sz w:val="32"/>
          <w:szCs w:val="32"/>
        </w:rPr>
        <w:t>“</w:t>
      </w:r>
      <w:r>
        <w:rPr>
          <w:rFonts w:ascii="Times New Roman" w:eastAsia="仿宋" w:hAnsi="Times New Roman" w:hint="eastAsia"/>
          <w:sz w:val="32"/>
          <w:szCs w:val="32"/>
        </w:rPr>
        <w:t>归属</w:t>
      </w:r>
      <w:r>
        <w:rPr>
          <w:rFonts w:ascii="Times New Roman" w:eastAsia="仿宋" w:hAnsi="Times New Roman"/>
          <w:sz w:val="32"/>
          <w:szCs w:val="32"/>
        </w:rPr>
        <w:t>于母公司所有者权益</w:t>
      </w:r>
      <w:r>
        <w:rPr>
          <w:rFonts w:ascii="Times New Roman" w:eastAsia="仿宋" w:hAnsi="Times New Roman" w:hint="eastAsia"/>
          <w:sz w:val="32"/>
          <w:szCs w:val="32"/>
        </w:rPr>
        <w:t>（或股东权益）合计</w:t>
      </w:r>
      <w:r>
        <w:rPr>
          <w:rFonts w:ascii="Times New Roman" w:eastAsia="仿宋" w:hAnsi="Times New Roman"/>
          <w:sz w:val="32"/>
          <w:szCs w:val="32"/>
        </w:rPr>
        <w:t>”</w:t>
      </w:r>
      <w:r>
        <w:rPr>
          <w:rFonts w:ascii="Times New Roman" w:eastAsia="仿宋" w:hAnsi="Times New Roman"/>
          <w:sz w:val="32"/>
          <w:szCs w:val="32"/>
        </w:rPr>
        <w:t>项目的</w:t>
      </w:r>
      <w:r>
        <w:rPr>
          <w:rFonts w:ascii="Times New Roman" w:eastAsia="仿宋" w:hAnsi="Times New Roman" w:hint="eastAsia"/>
          <w:sz w:val="32"/>
          <w:szCs w:val="32"/>
        </w:rPr>
        <w:t>本期期末</w:t>
      </w:r>
      <w:r>
        <w:rPr>
          <w:rFonts w:ascii="Times New Roman" w:eastAsia="仿宋" w:hAnsi="Times New Roman"/>
          <w:sz w:val="32"/>
          <w:szCs w:val="32"/>
        </w:rPr>
        <w:t>余额与</w:t>
      </w:r>
      <w:r>
        <w:rPr>
          <w:rFonts w:ascii="Times New Roman" w:eastAsia="仿宋" w:hAnsi="Times New Roman" w:hint="eastAsia"/>
          <w:sz w:val="32"/>
          <w:szCs w:val="32"/>
        </w:rPr>
        <w:t>上期期末</w:t>
      </w:r>
      <w:r>
        <w:rPr>
          <w:rFonts w:ascii="Times New Roman" w:eastAsia="仿宋" w:hAnsi="Times New Roman"/>
          <w:sz w:val="32"/>
          <w:szCs w:val="32"/>
        </w:rPr>
        <w:t>余额的平均值计算。</w:t>
      </w:r>
    </w:p>
    <w:p w14:paraId="1768A016" w14:textId="77777777" w:rsidR="009A7EF0" w:rsidRDefault="00000000">
      <w:pPr>
        <w:pStyle w:val="a3"/>
        <w:tabs>
          <w:tab w:val="left" w:pos="7513"/>
        </w:tabs>
        <w:overflowPunct w:val="0"/>
        <w:adjustRightInd w:val="0"/>
        <w:snapToGrid w:val="0"/>
        <w:spacing w:line="600" w:lineRule="exact"/>
        <w:ind w:left="0" w:firstLineChars="200" w:firstLine="640"/>
        <w:jc w:val="both"/>
        <w:rPr>
          <w:rFonts w:ascii="Times New Roman" w:eastAsia="仿宋" w:hAnsi="Times New Roman"/>
          <w:sz w:val="32"/>
          <w:szCs w:val="32"/>
        </w:rPr>
      </w:pPr>
      <w:r>
        <w:rPr>
          <w:rFonts w:ascii="Times New Roman" w:eastAsia="仿宋" w:hAnsi="Times New Roman" w:hint="eastAsia"/>
          <w:sz w:val="32"/>
          <w:szCs w:val="32"/>
        </w:rPr>
        <w:t xml:space="preserve">5. </w:t>
      </w:r>
      <w:r>
        <w:rPr>
          <w:rFonts w:ascii="Times New Roman" w:eastAsia="仿宋" w:hAnsi="Times New Roman"/>
          <w:sz w:val="32"/>
          <w:szCs w:val="32"/>
        </w:rPr>
        <w:t>营业收入增速指标，根据公司年报利润表中</w:t>
      </w:r>
      <w:r>
        <w:rPr>
          <w:rFonts w:ascii="Times New Roman" w:eastAsia="仿宋" w:hAnsi="Times New Roman"/>
          <w:sz w:val="32"/>
          <w:szCs w:val="32"/>
        </w:rPr>
        <w:t>“</w:t>
      </w:r>
      <w:r>
        <w:rPr>
          <w:rFonts w:ascii="Times New Roman" w:eastAsia="仿宋" w:hAnsi="Times New Roman"/>
          <w:sz w:val="32"/>
          <w:szCs w:val="32"/>
        </w:rPr>
        <w:t>营业收入</w:t>
      </w:r>
      <w:r>
        <w:rPr>
          <w:rFonts w:ascii="Times New Roman" w:eastAsia="仿宋" w:hAnsi="Times New Roman"/>
          <w:sz w:val="32"/>
          <w:szCs w:val="32"/>
        </w:rPr>
        <w:t>”</w:t>
      </w:r>
      <w:r>
        <w:rPr>
          <w:rFonts w:ascii="Times New Roman" w:eastAsia="仿宋" w:hAnsi="Times New Roman"/>
          <w:sz w:val="32"/>
          <w:szCs w:val="32"/>
        </w:rPr>
        <w:t>项目的本期</w:t>
      </w:r>
      <w:proofErr w:type="gramStart"/>
      <w:r>
        <w:rPr>
          <w:rFonts w:ascii="Times New Roman" w:eastAsia="仿宋" w:hAnsi="Times New Roman"/>
          <w:sz w:val="32"/>
          <w:szCs w:val="32"/>
        </w:rPr>
        <w:t>发生额减上期</w:t>
      </w:r>
      <w:proofErr w:type="gramEnd"/>
      <w:r>
        <w:rPr>
          <w:rFonts w:ascii="Times New Roman" w:eastAsia="仿宋" w:hAnsi="Times New Roman"/>
          <w:sz w:val="32"/>
          <w:szCs w:val="32"/>
        </w:rPr>
        <w:t>发生额，除</w:t>
      </w:r>
      <w:proofErr w:type="gramStart"/>
      <w:r>
        <w:rPr>
          <w:rFonts w:ascii="Times New Roman" w:eastAsia="仿宋" w:hAnsi="Times New Roman"/>
          <w:sz w:val="32"/>
          <w:szCs w:val="32"/>
        </w:rPr>
        <w:t>以上期</w:t>
      </w:r>
      <w:proofErr w:type="gramEnd"/>
      <w:r>
        <w:rPr>
          <w:rFonts w:ascii="Times New Roman" w:eastAsia="仿宋" w:hAnsi="Times New Roman"/>
          <w:sz w:val="32"/>
          <w:szCs w:val="32"/>
        </w:rPr>
        <w:t>发生额计算。</w:t>
      </w:r>
    </w:p>
    <w:p w14:paraId="23D239B2" w14:textId="77777777" w:rsidR="009A7EF0" w:rsidRDefault="00000000">
      <w:pPr>
        <w:pStyle w:val="a3"/>
        <w:tabs>
          <w:tab w:val="left" w:pos="7513"/>
        </w:tabs>
        <w:overflowPunct w:val="0"/>
        <w:adjustRightInd w:val="0"/>
        <w:snapToGrid w:val="0"/>
        <w:spacing w:line="600" w:lineRule="exact"/>
        <w:ind w:left="0" w:firstLineChars="200" w:firstLine="640"/>
        <w:jc w:val="both"/>
        <w:rPr>
          <w:rFonts w:ascii="Times New Roman" w:eastAsia="仿宋" w:hAnsi="Times New Roman"/>
          <w:sz w:val="32"/>
          <w:szCs w:val="32"/>
        </w:rPr>
      </w:pPr>
      <w:r>
        <w:rPr>
          <w:rFonts w:ascii="Times New Roman" w:eastAsia="仿宋" w:hAnsi="Times New Roman" w:hint="eastAsia"/>
          <w:sz w:val="32"/>
          <w:szCs w:val="32"/>
        </w:rPr>
        <w:t>6.</w:t>
      </w:r>
      <w:r>
        <w:rPr>
          <w:rFonts w:ascii="Times New Roman" w:eastAsia="仿宋" w:hAnsi="Times New Roman"/>
          <w:sz w:val="32"/>
          <w:szCs w:val="32"/>
        </w:rPr>
        <w:t xml:space="preserve"> </w:t>
      </w:r>
      <w:proofErr w:type="gramStart"/>
      <w:r>
        <w:rPr>
          <w:rFonts w:ascii="Times New Roman" w:eastAsia="仿宋" w:hAnsi="Times New Roman"/>
          <w:sz w:val="32"/>
          <w:szCs w:val="32"/>
        </w:rPr>
        <w:t>扣非归母净</w:t>
      </w:r>
      <w:proofErr w:type="gramEnd"/>
      <w:r>
        <w:rPr>
          <w:rFonts w:ascii="Times New Roman" w:eastAsia="仿宋" w:hAnsi="Times New Roman"/>
          <w:sz w:val="32"/>
          <w:szCs w:val="32"/>
        </w:rPr>
        <w:t>利润增速指标，根据公司年报披露的</w:t>
      </w:r>
      <w:r>
        <w:rPr>
          <w:rFonts w:ascii="Times New Roman" w:eastAsia="仿宋" w:hAnsi="Times New Roman"/>
          <w:sz w:val="32"/>
          <w:szCs w:val="32"/>
        </w:rPr>
        <w:t>“</w:t>
      </w:r>
      <w:r>
        <w:rPr>
          <w:rFonts w:ascii="Times New Roman" w:eastAsia="仿宋" w:hAnsi="Times New Roman"/>
          <w:sz w:val="32"/>
          <w:szCs w:val="32"/>
        </w:rPr>
        <w:t>归属于</w:t>
      </w:r>
      <w:r>
        <w:rPr>
          <w:rFonts w:ascii="Times New Roman" w:eastAsia="仿宋" w:hAnsi="Times New Roman"/>
          <w:sz w:val="32"/>
          <w:szCs w:val="32"/>
        </w:rPr>
        <w:lastRenderedPageBreak/>
        <w:t>上市公司股东的扣除非经常性损益后的净利润</w:t>
      </w:r>
      <w:r>
        <w:rPr>
          <w:rFonts w:ascii="Times New Roman" w:eastAsia="仿宋" w:hAnsi="Times New Roman"/>
          <w:sz w:val="32"/>
          <w:szCs w:val="32"/>
        </w:rPr>
        <w:t>”</w:t>
      </w:r>
      <w:r>
        <w:rPr>
          <w:rFonts w:ascii="Times New Roman" w:eastAsia="仿宋" w:hAnsi="Times New Roman"/>
          <w:sz w:val="32"/>
          <w:szCs w:val="32"/>
        </w:rPr>
        <w:t>的本期金额减上期金额，除</w:t>
      </w:r>
      <w:proofErr w:type="gramStart"/>
      <w:r>
        <w:rPr>
          <w:rFonts w:ascii="Times New Roman" w:eastAsia="仿宋" w:hAnsi="Times New Roman"/>
          <w:sz w:val="32"/>
          <w:szCs w:val="32"/>
        </w:rPr>
        <w:t>以上期金额</w:t>
      </w:r>
      <w:proofErr w:type="gramEnd"/>
      <w:r>
        <w:rPr>
          <w:rFonts w:ascii="Times New Roman" w:eastAsia="仿宋" w:hAnsi="Times New Roman"/>
          <w:sz w:val="32"/>
          <w:szCs w:val="32"/>
        </w:rPr>
        <w:t>的绝对值计算。</w:t>
      </w:r>
    </w:p>
    <w:p w14:paraId="52FC2300" w14:textId="77777777" w:rsidR="009A7EF0" w:rsidRDefault="00000000">
      <w:pPr>
        <w:pStyle w:val="a3"/>
        <w:tabs>
          <w:tab w:val="left" w:pos="7513"/>
        </w:tabs>
        <w:overflowPunct w:val="0"/>
        <w:adjustRightInd w:val="0"/>
        <w:snapToGrid w:val="0"/>
        <w:spacing w:line="600" w:lineRule="exact"/>
        <w:ind w:left="0" w:firstLineChars="200" w:firstLine="640"/>
        <w:jc w:val="both"/>
        <w:rPr>
          <w:rFonts w:ascii="Times New Roman" w:eastAsia="仿宋" w:hAnsi="Times New Roman"/>
          <w:sz w:val="32"/>
          <w:szCs w:val="32"/>
        </w:rPr>
      </w:pPr>
      <w:r>
        <w:rPr>
          <w:rFonts w:ascii="Times New Roman" w:eastAsia="仿宋" w:hAnsi="Times New Roman" w:hint="eastAsia"/>
          <w:sz w:val="32"/>
          <w:szCs w:val="32"/>
        </w:rPr>
        <w:t xml:space="preserve">7. </w:t>
      </w:r>
      <w:r>
        <w:rPr>
          <w:rFonts w:ascii="Times New Roman" w:eastAsia="仿宋" w:hAnsi="Times New Roman" w:hint="eastAsia"/>
          <w:sz w:val="32"/>
          <w:szCs w:val="32"/>
        </w:rPr>
        <w:t>业绩下滑调整指标，根据公司年报披露的“营业收入”“归属于上市公司股东的扣除非经常性损益的净利润”本期金额的同比变动情况计算。</w:t>
      </w:r>
    </w:p>
    <w:p w14:paraId="2DD79FD3" w14:textId="77777777" w:rsidR="009A7EF0" w:rsidRDefault="00000000">
      <w:pPr>
        <w:pStyle w:val="a3"/>
        <w:tabs>
          <w:tab w:val="left" w:pos="7513"/>
        </w:tabs>
        <w:overflowPunct w:val="0"/>
        <w:adjustRightInd w:val="0"/>
        <w:snapToGrid w:val="0"/>
        <w:spacing w:line="600" w:lineRule="exact"/>
        <w:ind w:left="0" w:firstLineChars="200" w:firstLine="640"/>
        <w:jc w:val="both"/>
        <w:rPr>
          <w:rFonts w:ascii="Times New Roman" w:eastAsia="仿宋" w:hAnsi="Times New Roman"/>
          <w:sz w:val="32"/>
          <w:szCs w:val="32"/>
        </w:rPr>
      </w:pPr>
      <w:r>
        <w:rPr>
          <w:rFonts w:ascii="Times New Roman" w:eastAsia="仿宋" w:hAnsi="Times New Roman" w:hint="eastAsia"/>
          <w:sz w:val="32"/>
          <w:szCs w:val="32"/>
        </w:rPr>
        <w:t>8</w:t>
      </w:r>
      <w:r>
        <w:rPr>
          <w:rFonts w:ascii="Times New Roman" w:eastAsia="仿宋" w:hAnsi="Times New Roman"/>
          <w:sz w:val="32"/>
          <w:szCs w:val="32"/>
        </w:rPr>
        <w:t xml:space="preserve">. </w:t>
      </w:r>
      <w:r>
        <w:rPr>
          <w:rFonts w:ascii="Times New Roman" w:eastAsia="仿宋" w:hAnsi="Times New Roman"/>
          <w:sz w:val="32"/>
          <w:szCs w:val="32"/>
        </w:rPr>
        <w:t>研发支出占比指标，根据公司年报披露的</w:t>
      </w:r>
      <w:r>
        <w:rPr>
          <w:rFonts w:ascii="Times New Roman" w:eastAsia="仿宋" w:hAnsi="Times New Roman"/>
          <w:sz w:val="32"/>
          <w:szCs w:val="32"/>
        </w:rPr>
        <w:t>“</w:t>
      </w:r>
      <w:r>
        <w:rPr>
          <w:rFonts w:ascii="Times New Roman" w:eastAsia="仿宋" w:hAnsi="Times New Roman"/>
          <w:sz w:val="32"/>
          <w:szCs w:val="32"/>
        </w:rPr>
        <w:t>研发</w:t>
      </w:r>
      <w:r>
        <w:rPr>
          <w:rFonts w:ascii="Times New Roman" w:eastAsia="仿宋" w:hAnsi="Times New Roman" w:hint="eastAsia"/>
          <w:sz w:val="32"/>
          <w:szCs w:val="32"/>
        </w:rPr>
        <w:t>支出</w:t>
      </w:r>
      <w:r>
        <w:rPr>
          <w:rFonts w:ascii="Times New Roman" w:eastAsia="仿宋" w:hAnsi="Times New Roman"/>
          <w:sz w:val="32"/>
          <w:szCs w:val="32"/>
        </w:rPr>
        <w:t>金额</w:t>
      </w:r>
      <w:r>
        <w:rPr>
          <w:rFonts w:ascii="Times New Roman" w:eastAsia="仿宋" w:hAnsi="Times New Roman"/>
          <w:sz w:val="32"/>
          <w:szCs w:val="32"/>
        </w:rPr>
        <w:t>”</w:t>
      </w:r>
      <w:r>
        <w:rPr>
          <w:rFonts w:ascii="Times New Roman" w:eastAsia="仿宋" w:hAnsi="Times New Roman"/>
          <w:sz w:val="32"/>
          <w:szCs w:val="32"/>
        </w:rPr>
        <w:t>项目的本期发生额，除以公司年报利润表中</w:t>
      </w:r>
      <w:r>
        <w:rPr>
          <w:rFonts w:ascii="Times New Roman" w:eastAsia="仿宋" w:hAnsi="Times New Roman"/>
          <w:sz w:val="32"/>
          <w:szCs w:val="32"/>
        </w:rPr>
        <w:t>“</w:t>
      </w:r>
      <w:r>
        <w:rPr>
          <w:rFonts w:ascii="Times New Roman" w:eastAsia="仿宋" w:hAnsi="Times New Roman"/>
          <w:sz w:val="32"/>
          <w:szCs w:val="32"/>
        </w:rPr>
        <w:t>营业收入</w:t>
      </w:r>
      <w:r>
        <w:rPr>
          <w:rFonts w:ascii="Times New Roman" w:eastAsia="仿宋" w:hAnsi="Times New Roman"/>
          <w:sz w:val="32"/>
          <w:szCs w:val="32"/>
        </w:rPr>
        <w:t>”</w:t>
      </w:r>
      <w:r>
        <w:rPr>
          <w:rFonts w:ascii="Times New Roman" w:eastAsia="仿宋" w:hAnsi="Times New Roman"/>
          <w:sz w:val="32"/>
          <w:szCs w:val="32"/>
        </w:rPr>
        <w:t>项目的本期发生额计算</w:t>
      </w:r>
      <w:r>
        <w:rPr>
          <w:rFonts w:ascii="Times New Roman" w:eastAsia="仿宋" w:hAnsi="Times New Roman" w:hint="eastAsia"/>
          <w:sz w:val="32"/>
          <w:szCs w:val="32"/>
        </w:rPr>
        <w:t>。</w:t>
      </w:r>
    </w:p>
    <w:p w14:paraId="441B3FEA" w14:textId="77777777" w:rsidR="009A7EF0" w:rsidRDefault="00000000">
      <w:pPr>
        <w:pStyle w:val="a3"/>
        <w:tabs>
          <w:tab w:val="left" w:pos="7513"/>
        </w:tabs>
        <w:overflowPunct w:val="0"/>
        <w:adjustRightInd w:val="0"/>
        <w:snapToGrid w:val="0"/>
        <w:spacing w:line="600" w:lineRule="exact"/>
        <w:ind w:left="0" w:firstLineChars="200" w:firstLine="640"/>
        <w:jc w:val="both"/>
        <w:rPr>
          <w:rFonts w:ascii="Times New Roman" w:eastAsia="仿宋" w:hAnsi="Times New Roman"/>
          <w:sz w:val="32"/>
          <w:szCs w:val="32"/>
        </w:rPr>
      </w:pPr>
      <w:r>
        <w:rPr>
          <w:rFonts w:ascii="Times New Roman" w:eastAsia="仿宋" w:hAnsi="Times New Roman"/>
          <w:sz w:val="32"/>
          <w:szCs w:val="32"/>
        </w:rPr>
        <w:t xml:space="preserve">9. </w:t>
      </w:r>
      <w:r>
        <w:rPr>
          <w:rFonts w:ascii="Times New Roman" w:eastAsia="仿宋" w:hAnsi="Times New Roman"/>
          <w:sz w:val="32"/>
          <w:szCs w:val="32"/>
        </w:rPr>
        <w:t>研发人员占比指标</w:t>
      </w:r>
      <w:r>
        <w:rPr>
          <w:rFonts w:ascii="Times New Roman" w:eastAsia="仿宋" w:hAnsi="Times New Roman" w:hint="eastAsia"/>
          <w:sz w:val="32"/>
          <w:szCs w:val="32"/>
        </w:rPr>
        <w:t>，</w:t>
      </w:r>
      <w:r>
        <w:rPr>
          <w:rFonts w:ascii="Times New Roman" w:eastAsia="仿宋" w:hAnsi="Times New Roman"/>
          <w:sz w:val="32"/>
          <w:szCs w:val="32"/>
        </w:rPr>
        <w:t>根据公司年报披露的</w:t>
      </w:r>
      <w:r>
        <w:rPr>
          <w:rFonts w:ascii="Times New Roman" w:eastAsia="仿宋" w:hAnsi="Times New Roman" w:hint="eastAsia"/>
          <w:sz w:val="32"/>
          <w:szCs w:val="32"/>
        </w:rPr>
        <w:t>“研发人员总计”期末人数，除以公司年报披露的“员工总计”期末人数。</w:t>
      </w:r>
    </w:p>
    <w:p w14:paraId="646FBAD0" w14:textId="77777777" w:rsidR="009A7EF0" w:rsidRDefault="00000000">
      <w:pPr>
        <w:pStyle w:val="a3"/>
        <w:tabs>
          <w:tab w:val="left" w:pos="7513"/>
        </w:tabs>
        <w:overflowPunct w:val="0"/>
        <w:adjustRightInd w:val="0"/>
        <w:snapToGrid w:val="0"/>
        <w:spacing w:line="600" w:lineRule="exact"/>
        <w:ind w:left="0" w:firstLineChars="200" w:firstLine="640"/>
        <w:jc w:val="both"/>
        <w:rPr>
          <w:rFonts w:ascii="Times New Roman" w:eastAsia="仿宋" w:hAnsi="Times New Roman"/>
          <w:sz w:val="32"/>
          <w:szCs w:val="32"/>
        </w:rPr>
      </w:pPr>
      <w:r>
        <w:rPr>
          <w:rFonts w:ascii="Times New Roman" w:eastAsia="仿宋" w:hAnsi="Times New Roman"/>
          <w:sz w:val="32"/>
          <w:szCs w:val="32"/>
        </w:rPr>
        <w:t>10</w:t>
      </w:r>
      <w:r>
        <w:rPr>
          <w:rFonts w:ascii="Times New Roman" w:eastAsia="仿宋" w:hAnsi="Times New Roman" w:hint="eastAsia"/>
          <w:sz w:val="32"/>
          <w:szCs w:val="32"/>
        </w:rPr>
        <w:t xml:space="preserve">. </w:t>
      </w:r>
      <w:proofErr w:type="gramStart"/>
      <w:r>
        <w:rPr>
          <w:rFonts w:ascii="Times New Roman" w:eastAsia="仿宋" w:hAnsi="Times New Roman"/>
          <w:sz w:val="32"/>
          <w:szCs w:val="32"/>
        </w:rPr>
        <w:t>年化回报率</w:t>
      </w:r>
      <w:proofErr w:type="gramEnd"/>
      <w:r>
        <w:rPr>
          <w:rFonts w:ascii="Times New Roman" w:eastAsia="仿宋" w:hAnsi="Times New Roman"/>
          <w:sz w:val="32"/>
          <w:szCs w:val="32"/>
        </w:rPr>
        <w:t>指标，根据</w:t>
      </w:r>
      <w:r>
        <w:rPr>
          <w:rFonts w:ascii="Times New Roman" w:eastAsia="仿宋" w:hAnsi="Times New Roman" w:hint="eastAsia"/>
          <w:sz w:val="32"/>
          <w:szCs w:val="32"/>
        </w:rPr>
        <w:t>期末</w:t>
      </w:r>
      <w:r>
        <w:rPr>
          <w:rFonts w:ascii="Times New Roman" w:eastAsia="仿宋" w:hAnsi="Times New Roman"/>
          <w:sz w:val="32"/>
          <w:szCs w:val="32"/>
        </w:rPr>
        <w:t>二十个交易日公司股票收盘复权价平均值减期初二十个交易日开盘复权价平均值，除以期初二十个交易日开盘复权价平均值计算。</w:t>
      </w:r>
    </w:p>
    <w:p w14:paraId="2D5EB05B" w14:textId="77777777" w:rsidR="009A7EF0" w:rsidRDefault="00000000">
      <w:pPr>
        <w:pStyle w:val="a3"/>
        <w:tabs>
          <w:tab w:val="left" w:pos="7513"/>
        </w:tabs>
        <w:overflowPunct w:val="0"/>
        <w:adjustRightInd w:val="0"/>
        <w:snapToGrid w:val="0"/>
        <w:spacing w:line="600" w:lineRule="exact"/>
        <w:ind w:left="0" w:firstLineChars="200" w:firstLine="640"/>
        <w:jc w:val="both"/>
        <w:rPr>
          <w:rFonts w:ascii="Times New Roman" w:eastAsia="仿宋" w:hAnsi="Times New Roman"/>
          <w:sz w:val="32"/>
          <w:szCs w:val="32"/>
        </w:rPr>
      </w:pPr>
      <w:r>
        <w:rPr>
          <w:rFonts w:ascii="Times New Roman" w:eastAsia="仿宋" w:hAnsi="Times New Roman"/>
          <w:sz w:val="32"/>
          <w:szCs w:val="32"/>
        </w:rPr>
        <w:t xml:space="preserve">11. </w:t>
      </w:r>
      <w:r>
        <w:rPr>
          <w:rFonts w:ascii="Times New Roman" w:eastAsia="仿宋" w:hAnsi="Times New Roman"/>
          <w:sz w:val="32"/>
          <w:szCs w:val="32"/>
        </w:rPr>
        <w:t>总市值指标</w:t>
      </w:r>
      <w:r>
        <w:rPr>
          <w:rFonts w:ascii="Times New Roman" w:eastAsia="仿宋" w:hAnsi="Times New Roman" w:hint="eastAsia"/>
          <w:sz w:val="32"/>
          <w:szCs w:val="32"/>
        </w:rPr>
        <w:t>，</w:t>
      </w:r>
      <w:r>
        <w:rPr>
          <w:rFonts w:ascii="Times New Roman" w:eastAsia="仿宋" w:hAnsi="Times New Roman"/>
          <w:sz w:val="32"/>
          <w:szCs w:val="32"/>
        </w:rPr>
        <w:t>根据期末二十个交易日公司收盘市值平均值计算</w:t>
      </w:r>
      <w:r>
        <w:rPr>
          <w:rFonts w:ascii="Times New Roman" w:eastAsia="仿宋" w:hAnsi="Times New Roman" w:hint="eastAsia"/>
          <w:sz w:val="32"/>
          <w:szCs w:val="32"/>
        </w:rPr>
        <w:t>。</w:t>
      </w:r>
    </w:p>
    <w:p w14:paraId="24A05107" w14:textId="77777777" w:rsidR="009A7EF0" w:rsidRDefault="00000000">
      <w:pPr>
        <w:pStyle w:val="a3"/>
        <w:tabs>
          <w:tab w:val="left" w:pos="7513"/>
        </w:tabs>
        <w:overflowPunct w:val="0"/>
        <w:adjustRightInd w:val="0"/>
        <w:snapToGrid w:val="0"/>
        <w:spacing w:line="600" w:lineRule="exact"/>
        <w:ind w:left="0" w:firstLineChars="200" w:firstLine="640"/>
        <w:jc w:val="both"/>
        <w:rPr>
          <w:rFonts w:ascii="Times New Roman" w:eastAsia="仿宋" w:hAnsi="Times New Roman"/>
          <w:sz w:val="32"/>
          <w:szCs w:val="32"/>
        </w:rPr>
      </w:pPr>
      <w:r>
        <w:rPr>
          <w:rFonts w:ascii="Times New Roman" w:eastAsia="仿宋" w:hAnsi="Times New Roman"/>
          <w:sz w:val="32"/>
          <w:szCs w:val="32"/>
        </w:rPr>
        <w:t>12</w:t>
      </w:r>
      <w:r>
        <w:rPr>
          <w:rFonts w:ascii="Times New Roman" w:eastAsia="仿宋" w:hAnsi="Times New Roman" w:hint="eastAsia"/>
          <w:sz w:val="32"/>
          <w:szCs w:val="32"/>
        </w:rPr>
        <w:t xml:space="preserve">. </w:t>
      </w:r>
      <w:r>
        <w:rPr>
          <w:rFonts w:ascii="Times New Roman" w:eastAsia="仿宋" w:hAnsi="Times New Roman"/>
          <w:sz w:val="32"/>
          <w:szCs w:val="32"/>
        </w:rPr>
        <w:t>总市值增长率指标，根据期末二十个交易日公司收盘市值平均值减期初二十个交易日公司</w:t>
      </w:r>
      <w:r>
        <w:rPr>
          <w:rFonts w:ascii="Times New Roman" w:eastAsia="仿宋" w:hAnsi="Times New Roman" w:hint="eastAsia"/>
          <w:sz w:val="32"/>
          <w:szCs w:val="32"/>
        </w:rPr>
        <w:t>开盘</w:t>
      </w:r>
      <w:r>
        <w:rPr>
          <w:rFonts w:ascii="Times New Roman" w:eastAsia="仿宋" w:hAnsi="Times New Roman"/>
          <w:sz w:val="32"/>
          <w:szCs w:val="32"/>
        </w:rPr>
        <w:t>市值平均值</w:t>
      </w:r>
      <w:r>
        <w:rPr>
          <w:rFonts w:ascii="Times New Roman" w:eastAsia="仿宋" w:hAnsi="Times New Roman" w:hint="eastAsia"/>
          <w:sz w:val="32"/>
          <w:szCs w:val="32"/>
        </w:rPr>
        <w:t>，</w:t>
      </w:r>
      <w:r>
        <w:rPr>
          <w:rFonts w:ascii="Times New Roman" w:eastAsia="仿宋" w:hAnsi="Times New Roman"/>
          <w:sz w:val="32"/>
          <w:szCs w:val="32"/>
        </w:rPr>
        <w:t>除以期初二十个交易日公司</w:t>
      </w:r>
      <w:r>
        <w:rPr>
          <w:rFonts w:ascii="Times New Roman" w:eastAsia="仿宋" w:hAnsi="Times New Roman" w:hint="eastAsia"/>
          <w:sz w:val="32"/>
          <w:szCs w:val="32"/>
        </w:rPr>
        <w:t>开盘</w:t>
      </w:r>
      <w:r>
        <w:rPr>
          <w:rFonts w:ascii="Times New Roman" w:eastAsia="仿宋" w:hAnsi="Times New Roman"/>
          <w:sz w:val="32"/>
          <w:szCs w:val="32"/>
        </w:rPr>
        <w:t>市值平均值</w:t>
      </w:r>
      <w:r>
        <w:rPr>
          <w:rFonts w:ascii="Times New Roman" w:eastAsia="仿宋" w:hAnsi="Times New Roman" w:hint="eastAsia"/>
          <w:sz w:val="32"/>
          <w:szCs w:val="32"/>
        </w:rPr>
        <w:t>。</w:t>
      </w:r>
    </w:p>
    <w:p w14:paraId="35513556" w14:textId="77777777" w:rsidR="009A7EF0" w:rsidRDefault="00000000">
      <w:pPr>
        <w:pStyle w:val="a3"/>
        <w:tabs>
          <w:tab w:val="left" w:pos="7513"/>
        </w:tabs>
        <w:overflowPunct w:val="0"/>
        <w:adjustRightInd w:val="0"/>
        <w:snapToGrid w:val="0"/>
        <w:spacing w:line="600" w:lineRule="exact"/>
        <w:ind w:left="0" w:firstLineChars="200" w:firstLine="640"/>
        <w:jc w:val="both"/>
        <w:rPr>
          <w:rFonts w:ascii="Times New Roman" w:eastAsia="仿宋" w:hAnsi="Times New Roman"/>
          <w:sz w:val="32"/>
          <w:szCs w:val="32"/>
        </w:rPr>
      </w:pPr>
      <w:r>
        <w:rPr>
          <w:rFonts w:ascii="Times New Roman" w:eastAsia="仿宋" w:hAnsi="Times New Roman"/>
          <w:sz w:val="32"/>
          <w:szCs w:val="32"/>
        </w:rPr>
        <w:t xml:space="preserve">13. </w:t>
      </w:r>
      <w:r>
        <w:rPr>
          <w:rFonts w:ascii="Times New Roman" w:eastAsia="仿宋" w:hAnsi="Times New Roman" w:hint="eastAsia"/>
          <w:sz w:val="32"/>
          <w:szCs w:val="32"/>
        </w:rPr>
        <w:t>纳入市场指数情况指标，根据评价年度</w:t>
      </w:r>
      <w:r>
        <w:rPr>
          <w:rFonts w:ascii="Times New Roman" w:eastAsia="仿宋" w:hAnsi="Times New Roman"/>
          <w:snapToGrid w:val="0"/>
          <w:sz w:val="32"/>
          <w:szCs w:val="32"/>
        </w:rPr>
        <w:t>公司</w:t>
      </w:r>
      <w:r>
        <w:rPr>
          <w:rFonts w:ascii="Times New Roman" w:eastAsia="仿宋" w:hAnsi="Times New Roman" w:hint="eastAsia"/>
          <w:snapToGrid w:val="0"/>
          <w:sz w:val="32"/>
          <w:szCs w:val="32"/>
        </w:rPr>
        <w:t>是否持续</w:t>
      </w:r>
      <w:proofErr w:type="gramStart"/>
      <w:r>
        <w:rPr>
          <w:rFonts w:ascii="Times New Roman" w:eastAsia="仿宋" w:hAnsi="Times New Roman"/>
          <w:snapToGrid w:val="0"/>
          <w:sz w:val="32"/>
          <w:szCs w:val="32"/>
        </w:rPr>
        <w:t>纳</w:t>
      </w:r>
      <w:r>
        <w:rPr>
          <w:rFonts w:ascii="Times New Roman" w:eastAsia="仿宋" w:hAnsi="Times New Roman"/>
          <w:snapToGrid w:val="0"/>
          <w:sz w:val="32"/>
          <w:szCs w:val="32"/>
        </w:rPr>
        <w:lastRenderedPageBreak/>
        <w:t>入</w:t>
      </w:r>
      <w:r>
        <w:rPr>
          <w:rFonts w:ascii="Times New Roman" w:eastAsia="仿宋" w:hAnsi="Times New Roman" w:hint="eastAsia"/>
          <w:snapToGrid w:val="0"/>
          <w:sz w:val="32"/>
          <w:szCs w:val="32"/>
        </w:rPr>
        <w:t>北证</w:t>
      </w:r>
      <w:r>
        <w:rPr>
          <w:rFonts w:ascii="Times New Roman" w:eastAsia="仿宋" w:hAnsi="Times New Roman" w:hint="eastAsia"/>
          <w:snapToGrid w:val="0"/>
          <w:sz w:val="32"/>
          <w:szCs w:val="32"/>
        </w:rPr>
        <w:t>50</w:t>
      </w:r>
      <w:r>
        <w:rPr>
          <w:rFonts w:ascii="Times New Roman" w:eastAsia="仿宋" w:hAnsi="Times New Roman" w:hint="eastAsia"/>
          <w:snapToGrid w:val="0"/>
          <w:sz w:val="32"/>
          <w:szCs w:val="32"/>
        </w:rPr>
        <w:t>等</w:t>
      </w:r>
      <w:proofErr w:type="gramEnd"/>
      <w:r>
        <w:rPr>
          <w:rFonts w:ascii="Times New Roman" w:eastAsia="仿宋" w:hAnsi="Times New Roman" w:hint="eastAsia"/>
          <w:snapToGrid w:val="0"/>
          <w:sz w:val="32"/>
          <w:szCs w:val="32"/>
        </w:rPr>
        <w:t>北交</w:t>
      </w:r>
      <w:proofErr w:type="gramStart"/>
      <w:r>
        <w:rPr>
          <w:rFonts w:ascii="Times New Roman" w:eastAsia="仿宋" w:hAnsi="Times New Roman" w:hint="eastAsia"/>
          <w:snapToGrid w:val="0"/>
          <w:sz w:val="32"/>
          <w:szCs w:val="32"/>
        </w:rPr>
        <w:t>所</w:t>
      </w:r>
      <w:r>
        <w:rPr>
          <w:rFonts w:ascii="Times New Roman" w:eastAsia="仿宋" w:hAnsi="Times New Roman"/>
          <w:snapToGrid w:val="0"/>
          <w:sz w:val="32"/>
          <w:szCs w:val="32"/>
        </w:rPr>
        <w:t>指数</w:t>
      </w:r>
      <w:proofErr w:type="gramEnd"/>
      <w:r>
        <w:rPr>
          <w:rFonts w:ascii="Times New Roman" w:eastAsia="仿宋" w:hAnsi="Times New Roman" w:hint="eastAsia"/>
          <w:snapToGrid w:val="0"/>
          <w:sz w:val="32"/>
          <w:szCs w:val="32"/>
        </w:rPr>
        <w:t>情况</w:t>
      </w:r>
      <w:r>
        <w:rPr>
          <w:rFonts w:ascii="Times New Roman" w:eastAsia="仿宋" w:hAnsi="Times New Roman"/>
          <w:snapToGrid w:val="0"/>
          <w:sz w:val="32"/>
          <w:szCs w:val="32"/>
        </w:rPr>
        <w:t>赋值。</w:t>
      </w:r>
    </w:p>
    <w:p w14:paraId="0777FC23" w14:textId="77777777" w:rsidR="009A7EF0" w:rsidRDefault="00000000">
      <w:pPr>
        <w:pStyle w:val="a3"/>
        <w:tabs>
          <w:tab w:val="left" w:pos="7513"/>
        </w:tabs>
        <w:overflowPunct w:val="0"/>
        <w:adjustRightInd w:val="0"/>
        <w:snapToGrid w:val="0"/>
        <w:spacing w:line="600" w:lineRule="exact"/>
        <w:ind w:left="0" w:firstLineChars="200" w:firstLine="640"/>
        <w:jc w:val="both"/>
        <w:rPr>
          <w:rFonts w:ascii="Times New Roman" w:eastAsia="仿宋" w:hAnsi="Times New Roman"/>
          <w:sz w:val="32"/>
          <w:szCs w:val="32"/>
        </w:rPr>
      </w:pPr>
      <w:r>
        <w:rPr>
          <w:rFonts w:ascii="Times New Roman" w:eastAsia="仿宋" w:hAnsi="Times New Roman" w:hint="eastAsia"/>
          <w:sz w:val="32"/>
          <w:szCs w:val="32"/>
        </w:rPr>
        <w:t>1</w:t>
      </w:r>
      <w:r>
        <w:rPr>
          <w:rFonts w:ascii="Times New Roman" w:eastAsia="仿宋" w:hAnsi="Times New Roman"/>
          <w:sz w:val="32"/>
          <w:szCs w:val="32"/>
        </w:rPr>
        <w:t>4</w:t>
      </w:r>
      <w:r>
        <w:rPr>
          <w:rFonts w:ascii="Times New Roman" w:eastAsia="仿宋" w:hAnsi="Times New Roman" w:hint="eastAsia"/>
          <w:sz w:val="32"/>
          <w:szCs w:val="32"/>
        </w:rPr>
        <w:t>.</w:t>
      </w:r>
      <w:r>
        <w:rPr>
          <w:rFonts w:ascii="Times New Roman" w:eastAsia="仿宋" w:hAnsi="Times New Roman"/>
          <w:sz w:val="32"/>
          <w:szCs w:val="32"/>
        </w:rPr>
        <w:t xml:space="preserve"> </w:t>
      </w:r>
      <w:r>
        <w:rPr>
          <w:rFonts w:ascii="Times New Roman" w:eastAsia="仿宋" w:hAnsi="Times New Roman"/>
          <w:sz w:val="32"/>
          <w:szCs w:val="32"/>
        </w:rPr>
        <w:t>信息披露评级指标</w:t>
      </w:r>
      <w:r>
        <w:rPr>
          <w:rFonts w:ascii="Times New Roman" w:eastAsia="仿宋" w:hAnsi="Times New Roman" w:hint="eastAsia"/>
          <w:sz w:val="32"/>
          <w:szCs w:val="32"/>
        </w:rPr>
        <w:t>，</w:t>
      </w:r>
      <w:r>
        <w:rPr>
          <w:rFonts w:ascii="Times New Roman" w:eastAsia="仿宋" w:hAnsi="Times New Roman"/>
          <w:sz w:val="32"/>
          <w:szCs w:val="32"/>
        </w:rPr>
        <w:t>根据北交所公布的上市公司信息披露质量分类结果计算</w:t>
      </w:r>
      <w:r>
        <w:rPr>
          <w:rFonts w:ascii="Times New Roman" w:eastAsia="仿宋" w:hAnsi="Times New Roman" w:hint="eastAsia"/>
          <w:sz w:val="32"/>
          <w:szCs w:val="32"/>
        </w:rPr>
        <w:t>，</w:t>
      </w:r>
      <w:r>
        <w:rPr>
          <w:rFonts w:ascii="Times New Roman" w:eastAsia="仿宋" w:hAnsi="Times New Roman"/>
          <w:sz w:val="32"/>
          <w:szCs w:val="32"/>
        </w:rPr>
        <w:t>共分为</w:t>
      </w:r>
      <w:r>
        <w:rPr>
          <w:rFonts w:ascii="Times New Roman" w:eastAsia="仿宋" w:hAnsi="Times New Roman" w:hint="eastAsia"/>
          <w:sz w:val="32"/>
          <w:szCs w:val="32"/>
        </w:rPr>
        <w:t>A</w:t>
      </w:r>
      <w:r>
        <w:rPr>
          <w:rFonts w:ascii="Times New Roman" w:eastAsia="仿宋" w:hAnsi="Times New Roman" w:hint="eastAsia"/>
          <w:sz w:val="32"/>
          <w:szCs w:val="32"/>
        </w:rPr>
        <w:t>、</w:t>
      </w:r>
      <w:r>
        <w:rPr>
          <w:rFonts w:ascii="Times New Roman" w:eastAsia="仿宋" w:hAnsi="Times New Roman" w:hint="eastAsia"/>
          <w:sz w:val="32"/>
          <w:szCs w:val="32"/>
        </w:rPr>
        <w:t>B</w:t>
      </w:r>
      <w:r>
        <w:rPr>
          <w:rFonts w:ascii="Times New Roman" w:eastAsia="仿宋" w:hAnsi="Times New Roman" w:hint="eastAsia"/>
          <w:sz w:val="32"/>
          <w:szCs w:val="32"/>
        </w:rPr>
        <w:t>、</w:t>
      </w:r>
      <w:r>
        <w:rPr>
          <w:rFonts w:ascii="Times New Roman" w:eastAsia="仿宋" w:hAnsi="Times New Roman" w:hint="eastAsia"/>
          <w:sz w:val="32"/>
          <w:szCs w:val="32"/>
        </w:rPr>
        <w:t>C</w:t>
      </w:r>
      <w:r>
        <w:rPr>
          <w:rFonts w:ascii="Times New Roman" w:eastAsia="仿宋" w:hAnsi="Times New Roman" w:hint="eastAsia"/>
          <w:sz w:val="32"/>
          <w:szCs w:val="32"/>
        </w:rPr>
        <w:t>、</w:t>
      </w:r>
      <w:r>
        <w:rPr>
          <w:rFonts w:ascii="Times New Roman" w:eastAsia="仿宋" w:hAnsi="Times New Roman" w:hint="eastAsia"/>
          <w:sz w:val="32"/>
          <w:szCs w:val="32"/>
        </w:rPr>
        <w:t>D</w:t>
      </w:r>
      <w:r>
        <w:rPr>
          <w:rFonts w:ascii="Times New Roman" w:eastAsia="仿宋" w:hAnsi="Times New Roman"/>
          <w:sz w:val="32"/>
          <w:szCs w:val="32"/>
        </w:rPr>
        <w:t>四类</w:t>
      </w:r>
      <w:r>
        <w:rPr>
          <w:rFonts w:ascii="Times New Roman" w:eastAsia="仿宋" w:hAnsi="Times New Roman" w:hint="eastAsia"/>
          <w:sz w:val="32"/>
          <w:szCs w:val="32"/>
        </w:rPr>
        <w:t>。</w:t>
      </w:r>
    </w:p>
    <w:p w14:paraId="211080AA" w14:textId="77777777" w:rsidR="009A7EF0" w:rsidRDefault="00000000">
      <w:pPr>
        <w:pStyle w:val="a3"/>
        <w:tabs>
          <w:tab w:val="left" w:pos="7513"/>
        </w:tabs>
        <w:overflowPunct w:val="0"/>
        <w:adjustRightInd w:val="0"/>
        <w:snapToGrid w:val="0"/>
        <w:spacing w:line="600" w:lineRule="exact"/>
        <w:ind w:left="0" w:firstLineChars="200" w:firstLine="640"/>
        <w:jc w:val="both"/>
        <w:rPr>
          <w:rFonts w:ascii="Times New Roman" w:eastAsia="仿宋" w:hAnsi="Times New Roman"/>
          <w:sz w:val="32"/>
          <w:szCs w:val="32"/>
        </w:rPr>
      </w:pPr>
      <w:r>
        <w:rPr>
          <w:rFonts w:ascii="Times New Roman" w:eastAsia="仿宋" w:hAnsi="Times New Roman" w:hint="eastAsia"/>
          <w:snapToGrid w:val="0"/>
          <w:sz w:val="32"/>
          <w:szCs w:val="32"/>
        </w:rPr>
        <w:t>1</w:t>
      </w:r>
      <w:r>
        <w:rPr>
          <w:rFonts w:ascii="Times New Roman" w:eastAsia="仿宋" w:hAnsi="Times New Roman"/>
          <w:snapToGrid w:val="0"/>
          <w:sz w:val="32"/>
          <w:szCs w:val="32"/>
        </w:rPr>
        <w:t xml:space="preserve">5. </w:t>
      </w:r>
      <w:r>
        <w:rPr>
          <w:rFonts w:ascii="Times New Roman" w:eastAsia="仿宋" w:hAnsi="Times New Roman"/>
          <w:snapToGrid w:val="0"/>
          <w:sz w:val="32"/>
          <w:szCs w:val="32"/>
        </w:rPr>
        <w:t>行政</w:t>
      </w:r>
      <w:r>
        <w:rPr>
          <w:rFonts w:ascii="Times New Roman" w:eastAsia="仿宋" w:hAnsi="Times New Roman" w:hint="eastAsia"/>
          <w:snapToGrid w:val="0"/>
          <w:sz w:val="32"/>
          <w:szCs w:val="32"/>
        </w:rPr>
        <w:t>监管处罚</w:t>
      </w:r>
      <w:r>
        <w:rPr>
          <w:rFonts w:ascii="Times New Roman" w:eastAsia="仿宋" w:hAnsi="Times New Roman"/>
          <w:sz w:val="32"/>
          <w:szCs w:val="32"/>
        </w:rPr>
        <w:t>指标，根据证监会、证监局对上市公司采取的行政监管措施及实施的行政处罚计算。其中，监管措施包括警示函、监管谈话和责令改正等</w:t>
      </w:r>
      <w:r>
        <w:rPr>
          <w:rFonts w:ascii="Times New Roman" w:eastAsia="仿宋" w:hAnsi="Times New Roman" w:hint="eastAsia"/>
          <w:sz w:val="32"/>
          <w:szCs w:val="32"/>
        </w:rPr>
        <w:t>，</w:t>
      </w:r>
      <w:r>
        <w:rPr>
          <w:rFonts w:ascii="Times New Roman" w:eastAsia="仿宋" w:hAnsi="Times New Roman"/>
          <w:sz w:val="32"/>
          <w:szCs w:val="32"/>
        </w:rPr>
        <w:t>行政处罚包括警告、罚款等。</w:t>
      </w:r>
    </w:p>
    <w:p w14:paraId="1124CB35" w14:textId="77777777" w:rsidR="009A7EF0" w:rsidRDefault="00000000">
      <w:pPr>
        <w:pStyle w:val="a3"/>
        <w:tabs>
          <w:tab w:val="left" w:pos="7513"/>
        </w:tabs>
        <w:overflowPunct w:val="0"/>
        <w:adjustRightInd w:val="0"/>
        <w:snapToGrid w:val="0"/>
        <w:spacing w:line="600" w:lineRule="exact"/>
        <w:ind w:left="0" w:firstLineChars="200" w:firstLine="640"/>
        <w:jc w:val="both"/>
        <w:rPr>
          <w:rFonts w:ascii="Times New Roman" w:eastAsia="仿宋" w:hAnsi="Times New Roman"/>
          <w:sz w:val="32"/>
          <w:szCs w:val="32"/>
        </w:rPr>
      </w:pPr>
      <w:r>
        <w:rPr>
          <w:rFonts w:ascii="Times New Roman" w:eastAsia="仿宋" w:hAnsi="Times New Roman"/>
          <w:sz w:val="32"/>
          <w:szCs w:val="32"/>
        </w:rPr>
        <w:t xml:space="preserve">16. </w:t>
      </w:r>
      <w:r>
        <w:rPr>
          <w:rFonts w:ascii="Times New Roman" w:eastAsia="仿宋" w:hAnsi="Times New Roman" w:hint="eastAsia"/>
          <w:sz w:val="32"/>
          <w:szCs w:val="32"/>
        </w:rPr>
        <w:t>保荐业务评价指标，按照北交所、全国股转公司发布的证券公司执业质量评价相关规定中保荐业务执业质量评价指标执行，根据评价年度专业质量得分与合</w:t>
      </w:r>
      <w:proofErr w:type="gramStart"/>
      <w:r>
        <w:rPr>
          <w:rFonts w:ascii="Times New Roman" w:eastAsia="仿宋" w:hAnsi="Times New Roman" w:hint="eastAsia"/>
          <w:sz w:val="32"/>
          <w:szCs w:val="32"/>
        </w:rPr>
        <w:t>规</w:t>
      </w:r>
      <w:proofErr w:type="gramEnd"/>
      <w:r>
        <w:rPr>
          <w:rFonts w:ascii="Times New Roman" w:eastAsia="仿宋" w:hAnsi="Times New Roman" w:hint="eastAsia"/>
          <w:sz w:val="32"/>
          <w:szCs w:val="32"/>
        </w:rPr>
        <w:t>质量扣分加总后折算得出。</w:t>
      </w:r>
    </w:p>
    <w:p w14:paraId="4B9474BD" w14:textId="77777777" w:rsidR="009A7EF0" w:rsidRDefault="00000000">
      <w:pPr>
        <w:pStyle w:val="a3"/>
        <w:tabs>
          <w:tab w:val="left" w:pos="7513"/>
        </w:tabs>
        <w:overflowPunct w:val="0"/>
        <w:adjustRightInd w:val="0"/>
        <w:snapToGrid w:val="0"/>
        <w:spacing w:line="600" w:lineRule="exact"/>
        <w:ind w:left="0" w:firstLineChars="200" w:firstLine="640"/>
        <w:jc w:val="both"/>
        <w:rPr>
          <w:rFonts w:ascii="Times New Roman" w:eastAsia="仿宋" w:hAnsi="Times New Roman"/>
          <w:sz w:val="32"/>
          <w:szCs w:val="32"/>
        </w:rPr>
      </w:pPr>
      <w:r>
        <w:rPr>
          <w:rFonts w:ascii="Times New Roman" w:eastAsia="仿宋" w:hAnsi="Times New Roman" w:hint="eastAsia"/>
          <w:sz w:val="32"/>
          <w:szCs w:val="32"/>
        </w:rPr>
        <w:t>1</w:t>
      </w:r>
      <w:r>
        <w:rPr>
          <w:rFonts w:ascii="Times New Roman" w:eastAsia="仿宋" w:hAnsi="Times New Roman"/>
          <w:sz w:val="32"/>
          <w:szCs w:val="32"/>
        </w:rPr>
        <w:t>7.</w:t>
      </w:r>
      <w:r>
        <w:rPr>
          <w:rFonts w:ascii="Times New Roman" w:eastAsia="仿宋" w:hAnsi="Times New Roman" w:hint="eastAsia"/>
          <w:sz w:val="32"/>
          <w:szCs w:val="32"/>
        </w:rPr>
        <w:t xml:space="preserve"> </w:t>
      </w:r>
      <w:r>
        <w:rPr>
          <w:rFonts w:ascii="Times New Roman" w:eastAsia="仿宋" w:hAnsi="Times New Roman"/>
          <w:sz w:val="32"/>
          <w:szCs w:val="32"/>
        </w:rPr>
        <w:t>保荐项目数量指标，根据评价年度保荐机构纳入上市公司质量评价范围的保荐上市项目的数量计算。</w:t>
      </w:r>
    </w:p>
    <w:p w14:paraId="194F5140" w14:textId="77777777" w:rsidR="009A7EF0" w:rsidRDefault="00000000">
      <w:pPr>
        <w:pStyle w:val="a3"/>
        <w:tabs>
          <w:tab w:val="left" w:pos="7513"/>
        </w:tabs>
        <w:overflowPunct w:val="0"/>
        <w:adjustRightInd w:val="0"/>
        <w:snapToGrid w:val="0"/>
        <w:spacing w:line="600" w:lineRule="exact"/>
        <w:ind w:left="0" w:firstLineChars="200" w:firstLine="640"/>
        <w:jc w:val="both"/>
        <w:rPr>
          <w:rFonts w:ascii="Times New Roman" w:eastAsia="仿宋" w:hAnsi="Times New Roman"/>
          <w:sz w:val="32"/>
          <w:szCs w:val="32"/>
        </w:rPr>
      </w:pPr>
      <w:r>
        <w:rPr>
          <w:rFonts w:ascii="Times New Roman" w:eastAsia="仿宋" w:hAnsi="Times New Roman" w:hint="eastAsia"/>
          <w:sz w:val="32"/>
          <w:szCs w:val="32"/>
        </w:rPr>
        <w:t>1</w:t>
      </w:r>
      <w:r>
        <w:rPr>
          <w:rFonts w:ascii="Times New Roman" w:eastAsia="仿宋" w:hAnsi="Times New Roman"/>
          <w:sz w:val="32"/>
          <w:szCs w:val="32"/>
        </w:rPr>
        <w:t xml:space="preserve">8. </w:t>
      </w:r>
      <w:r>
        <w:rPr>
          <w:rFonts w:ascii="Times New Roman" w:eastAsia="仿宋" w:hAnsi="Times New Roman"/>
          <w:sz w:val="32"/>
          <w:szCs w:val="32"/>
        </w:rPr>
        <w:t>风险警示公司占比指标，根据截至评价年度末，保荐机构纳入上市公司质量评价的保荐上市项目中，风险警示公司的数量占比计算。</w:t>
      </w:r>
    </w:p>
    <w:p w14:paraId="12ECCEE2" w14:textId="77777777" w:rsidR="009A7EF0" w:rsidRDefault="00000000">
      <w:pPr>
        <w:pStyle w:val="a3"/>
        <w:tabs>
          <w:tab w:val="left" w:pos="7513"/>
        </w:tabs>
        <w:overflowPunct w:val="0"/>
        <w:adjustRightInd w:val="0"/>
        <w:snapToGrid w:val="0"/>
        <w:spacing w:line="600" w:lineRule="exact"/>
        <w:ind w:left="0" w:firstLineChars="200" w:firstLine="640"/>
        <w:jc w:val="both"/>
        <w:rPr>
          <w:rFonts w:ascii="Times New Roman" w:eastAsia="仿宋" w:hAnsi="Times New Roman"/>
          <w:sz w:val="32"/>
          <w:szCs w:val="32"/>
        </w:rPr>
      </w:pPr>
      <w:r>
        <w:rPr>
          <w:rFonts w:ascii="Times New Roman" w:eastAsia="仿宋" w:hAnsi="Times New Roman" w:hint="eastAsia"/>
          <w:sz w:val="32"/>
          <w:szCs w:val="32"/>
        </w:rPr>
        <w:t>1</w:t>
      </w:r>
      <w:r>
        <w:rPr>
          <w:rFonts w:ascii="Times New Roman" w:eastAsia="仿宋" w:hAnsi="Times New Roman"/>
          <w:sz w:val="32"/>
          <w:szCs w:val="32"/>
        </w:rPr>
        <w:t>9</w:t>
      </w:r>
      <w:r>
        <w:rPr>
          <w:rFonts w:ascii="Times New Roman" w:eastAsia="仿宋" w:hAnsi="Times New Roman" w:hint="eastAsia"/>
          <w:sz w:val="32"/>
          <w:szCs w:val="32"/>
        </w:rPr>
        <w:t>.</w:t>
      </w:r>
      <w:r>
        <w:rPr>
          <w:rFonts w:ascii="Times New Roman" w:eastAsia="仿宋" w:hAnsi="Times New Roman"/>
          <w:sz w:val="32"/>
          <w:szCs w:val="32"/>
        </w:rPr>
        <w:t xml:space="preserve"> </w:t>
      </w:r>
      <w:r>
        <w:rPr>
          <w:rFonts w:ascii="Times New Roman" w:eastAsia="仿宋" w:hAnsi="Times New Roman"/>
          <w:sz w:val="32"/>
          <w:szCs w:val="32"/>
        </w:rPr>
        <w:t>强制退市公司占比指标，根据截至评价年度末，保荐机构纳入上市公司质量评价的保荐上市项目中，强制退市公司的数量占比计算。因不可抗力触发财务退市的，不纳入强制退市</w:t>
      </w:r>
      <w:r>
        <w:rPr>
          <w:rFonts w:ascii="Times New Roman" w:eastAsia="仿宋" w:hAnsi="Times New Roman"/>
          <w:sz w:val="32"/>
          <w:szCs w:val="32"/>
        </w:rPr>
        <w:lastRenderedPageBreak/>
        <w:t>公司数量统计。</w:t>
      </w:r>
    </w:p>
    <w:p w14:paraId="21C96448" w14:textId="77777777" w:rsidR="009A7EF0" w:rsidRDefault="00000000">
      <w:pPr>
        <w:pStyle w:val="a3"/>
        <w:tabs>
          <w:tab w:val="left" w:pos="7513"/>
        </w:tabs>
        <w:overflowPunct w:val="0"/>
        <w:adjustRightInd w:val="0"/>
        <w:snapToGrid w:val="0"/>
        <w:spacing w:line="600" w:lineRule="exact"/>
        <w:ind w:left="0" w:firstLineChars="200" w:firstLine="640"/>
        <w:jc w:val="both"/>
        <w:rPr>
          <w:rFonts w:ascii="Times New Roman" w:eastAsia="仿宋" w:hAnsi="Times New Roman"/>
          <w:sz w:val="32"/>
          <w:szCs w:val="32"/>
        </w:rPr>
      </w:pPr>
      <w:r>
        <w:rPr>
          <w:rFonts w:ascii="Times New Roman" w:eastAsia="仿宋" w:hAnsi="Times New Roman"/>
          <w:sz w:val="32"/>
          <w:szCs w:val="32"/>
        </w:rPr>
        <w:t>20</w:t>
      </w:r>
      <w:r>
        <w:rPr>
          <w:rFonts w:ascii="Times New Roman" w:eastAsia="仿宋" w:hAnsi="Times New Roman" w:hint="eastAsia"/>
          <w:sz w:val="32"/>
          <w:szCs w:val="32"/>
        </w:rPr>
        <w:t xml:space="preserve">. </w:t>
      </w:r>
      <w:r>
        <w:rPr>
          <w:rFonts w:ascii="Times New Roman" w:eastAsia="仿宋" w:hAnsi="Times New Roman"/>
          <w:sz w:val="32"/>
          <w:szCs w:val="32"/>
        </w:rPr>
        <w:t>重大执业质量问题指标，根据评价年度保荐机构已保荐的公司是否涉及欺诈发行、重大财务造假或其他重大违法行为计算。重大财务造假或其他重大违法行为发生在公司上市满</w:t>
      </w:r>
      <w:r>
        <w:rPr>
          <w:rFonts w:ascii="Times New Roman" w:eastAsia="仿宋" w:hAnsi="Times New Roman"/>
          <w:sz w:val="32"/>
          <w:szCs w:val="32"/>
        </w:rPr>
        <w:t>3</w:t>
      </w:r>
      <w:r>
        <w:rPr>
          <w:rFonts w:ascii="Times New Roman" w:eastAsia="仿宋" w:hAnsi="Times New Roman"/>
          <w:sz w:val="32"/>
          <w:szCs w:val="32"/>
        </w:rPr>
        <w:t>年后的，不纳入重大执业质量问题统计。</w:t>
      </w:r>
    </w:p>
    <w:p w14:paraId="4618F021" w14:textId="77777777" w:rsidR="009A7EF0" w:rsidRDefault="009A7EF0">
      <w:pPr>
        <w:rPr>
          <w:rFonts w:ascii="Times New Roman" w:eastAsia="仿宋" w:hAnsi="Times New Roman"/>
          <w:sz w:val="32"/>
          <w:szCs w:val="32"/>
        </w:rPr>
      </w:pPr>
    </w:p>
    <w:sectPr w:rsidR="009A7EF0">
      <w:footerReference w:type="even" r:id="rId7"/>
      <w:footerReference w:type="default" r:id="rId8"/>
      <w:pgSz w:w="11906" w:h="16838"/>
      <w:pgMar w:top="2098" w:right="1588"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C89FE" w14:textId="77777777" w:rsidR="00B44AB6" w:rsidRDefault="00B44AB6">
      <w:pPr>
        <w:spacing w:after="0" w:line="240" w:lineRule="auto"/>
        <w:rPr>
          <w:rFonts w:hint="eastAsia"/>
        </w:rPr>
      </w:pPr>
      <w:r>
        <w:separator/>
      </w:r>
    </w:p>
  </w:endnote>
  <w:endnote w:type="continuationSeparator" w:id="0">
    <w:p w14:paraId="06DC8B70" w14:textId="77777777" w:rsidR="00B44AB6" w:rsidRDefault="00B44AB6">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EastAsia" w:eastAsiaTheme="minorEastAsia" w:hAnsiTheme="minorEastAsia"/>
      </w:rPr>
      <w:id w:val="-1093851077"/>
    </w:sdtPr>
    <w:sdtEndPr>
      <w:rPr>
        <w:rFonts w:cs="Times New Roman"/>
        <w:sz w:val="28"/>
      </w:rPr>
    </w:sdtEndPr>
    <w:sdtContent>
      <w:p w14:paraId="2A34A47A" w14:textId="77777777" w:rsidR="009A7EF0" w:rsidRDefault="00000000">
        <w:pPr>
          <w:pStyle w:val="a7"/>
          <w:rPr>
            <w:rFonts w:asciiTheme="minorEastAsia" w:eastAsiaTheme="minorEastAsia" w:hAnsiTheme="minorEastAsia" w:cs="Times New Roman" w:hint="eastAsia"/>
            <w:sz w:val="28"/>
          </w:rPr>
        </w:pPr>
        <w:r>
          <w:rPr>
            <w:rFonts w:asciiTheme="minorEastAsia" w:eastAsiaTheme="minorEastAsia" w:hAnsiTheme="minorEastAsia" w:cs="Times New Roman"/>
            <w:sz w:val="28"/>
          </w:rPr>
          <w:fldChar w:fldCharType="begin"/>
        </w:r>
        <w:r>
          <w:rPr>
            <w:rFonts w:asciiTheme="minorEastAsia" w:eastAsiaTheme="minorEastAsia" w:hAnsiTheme="minorEastAsia" w:cs="Times New Roman"/>
            <w:sz w:val="28"/>
          </w:rPr>
          <w:instrText>PAGE   \* MERGEFORMAT</w:instrText>
        </w:r>
        <w:r>
          <w:rPr>
            <w:rFonts w:asciiTheme="minorEastAsia" w:eastAsiaTheme="minorEastAsia" w:hAnsiTheme="minorEastAsia" w:cs="Times New Roman"/>
            <w:sz w:val="28"/>
          </w:rPr>
          <w:fldChar w:fldCharType="separate"/>
        </w:r>
        <w:r>
          <w:rPr>
            <w:rFonts w:asciiTheme="minorEastAsia" w:eastAsiaTheme="minorEastAsia" w:hAnsiTheme="minorEastAsia" w:cs="Times New Roman"/>
            <w:sz w:val="28"/>
            <w:lang w:val="zh-CN"/>
          </w:rPr>
          <w:t>-</w:t>
        </w:r>
        <w:r>
          <w:rPr>
            <w:rFonts w:asciiTheme="minorEastAsia" w:eastAsiaTheme="minorEastAsia" w:hAnsiTheme="minorEastAsia" w:cs="Times New Roman"/>
            <w:sz w:val="28"/>
          </w:rPr>
          <w:t xml:space="preserve"> 12 -</w:t>
        </w:r>
        <w:r>
          <w:rPr>
            <w:rFonts w:asciiTheme="minorEastAsia" w:eastAsiaTheme="minorEastAsia" w:hAnsiTheme="minorEastAsia" w:cs="Times New Roman"/>
            <w:sz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362881"/>
    </w:sdtPr>
    <w:sdtEndPr>
      <w:rPr>
        <w:rFonts w:asciiTheme="minorEastAsia" w:eastAsiaTheme="minorEastAsia" w:hAnsiTheme="minorEastAsia" w:cs="Times New Roman"/>
        <w:sz w:val="28"/>
      </w:rPr>
    </w:sdtEndPr>
    <w:sdtContent>
      <w:p w14:paraId="6F6FC4BB" w14:textId="77777777" w:rsidR="009A7EF0" w:rsidRDefault="00000000">
        <w:pPr>
          <w:pStyle w:val="a7"/>
          <w:jc w:val="right"/>
          <w:rPr>
            <w:rFonts w:asciiTheme="minorEastAsia" w:eastAsiaTheme="minorEastAsia" w:hAnsiTheme="minorEastAsia" w:cs="Times New Roman" w:hint="eastAsia"/>
            <w:sz w:val="28"/>
          </w:rPr>
        </w:pPr>
        <w:r>
          <w:rPr>
            <w:rFonts w:asciiTheme="minorEastAsia" w:eastAsiaTheme="minorEastAsia" w:hAnsiTheme="minorEastAsia" w:cs="Times New Roman"/>
            <w:sz w:val="28"/>
          </w:rPr>
          <w:fldChar w:fldCharType="begin"/>
        </w:r>
        <w:r>
          <w:rPr>
            <w:rFonts w:asciiTheme="minorEastAsia" w:eastAsiaTheme="minorEastAsia" w:hAnsiTheme="minorEastAsia" w:cs="Times New Roman"/>
            <w:sz w:val="28"/>
          </w:rPr>
          <w:instrText>PAGE   \* MERGEFORMAT</w:instrText>
        </w:r>
        <w:r>
          <w:rPr>
            <w:rFonts w:asciiTheme="minorEastAsia" w:eastAsiaTheme="minorEastAsia" w:hAnsiTheme="minorEastAsia" w:cs="Times New Roman"/>
            <w:sz w:val="28"/>
          </w:rPr>
          <w:fldChar w:fldCharType="separate"/>
        </w:r>
        <w:r>
          <w:rPr>
            <w:rFonts w:asciiTheme="minorEastAsia" w:eastAsiaTheme="minorEastAsia" w:hAnsiTheme="minorEastAsia" w:cs="Times New Roman"/>
            <w:sz w:val="28"/>
            <w:lang w:val="zh-CN"/>
          </w:rPr>
          <w:t>-</w:t>
        </w:r>
        <w:r>
          <w:rPr>
            <w:rFonts w:asciiTheme="minorEastAsia" w:eastAsiaTheme="minorEastAsia" w:hAnsiTheme="minorEastAsia" w:cs="Times New Roman"/>
            <w:sz w:val="28"/>
          </w:rPr>
          <w:t xml:space="preserve"> 13 -</w:t>
        </w:r>
        <w:r>
          <w:rPr>
            <w:rFonts w:asciiTheme="minorEastAsia" w:eastAsiaTheme="minorEastAsia" w:hAnsiTheme="minorEastAsia" w:cs="Times New Roman"/>
            <w:sz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5A16B" w14:textId="77777777" w:rsidR="00B44AB6" w:rsidRDefault="00B44AB6">
      <w:pPr>
        <w:spacing w:after="0" w:line="240" w:lineRule="auto"/>
        <w:rPr>
          <w:rFonts w:hint="eastAsia"/>
        </w:rPr>
      </w:pPr>
      <w:r>
        <w:separator/>
      </w:r>
    </w:p>
  </w:footnote>
  <w:footnote w:type="continuationSeparator" w:id="0">
    <w:p w14:paraId="342A28F7" w14:textId="77777777" w:rsidR="00B44AB6" w:rsidRDefault="00B44AB6">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evenAndOddHeaders/>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A7"/>
    <w:rsid w:val="86FD6C47"/>
    <w:rsid w:val="93FB9BEF"/>
    <w:rsid w:val="BAFD6F29"/>
    <w:rsid w:val="BEABA443"/>
    <w:rsid w:val="D7EDB90E"/>
    <w:rsid w:val="D9EBBE9B"/>
    <w:rsid w:val="E31B7D22"/>
    <w:rsid w:val="EDFFE8E8"/>
    <w:rsid w:val="F337B9D1"/>
    <w:rsid w:val="FBC7C2F7"/>
    <w:rsid w:val="FC6FED81"/>
    <w:rsid w:val="FDB30505"/>
    <w:rsid w:val="FFA93F0F"/>
    <w:rsid w:val="FFBF19E6"/>
    <w:rsid w:val="FFFBB892"/>
    <w:rsid w:val="00003088"/>
    <w:rsid w:val="00010A9A"/>
    <w:rsid w:val="0001608D"/>
    <w:rsid w:val="000216DC"/>
    <w:rsid w:val="00025945"/>
    <w:rsid w:val="000320C5"/>
    <w:rsid w:val="0003446A"/>
    <w:rsid w:val="000356B6"/>
    <w:rsid w:val="00035EF8"/>
    <w:rsid w:val="00040A47"/>
    <w:rsid w:val="00044134"/>
    <w:rsid w:val="00051072"/>
    <w:rsid w:val="00052628"/>
    <w:rsid w:val="00055AFB"/>
    <w:rsid w:val="000569C6"/>
    <w:rsid w:val="00057885"/>
    <w:rsid w:val="00062C56"/>
    <w:rsid w:val="000726D0"/>
    <w:rsid w:val="00074C60"/>
    <w:rsid w:val="000761C6"/>
    <w:rsid w:val="00076778"/>
    <w:rsid w:val="0008532B"/>
    <w:rsid w:val="000944CE"/>
    <w:rsid w:val="000A45B4"/>
    <w:rsid w:val="000C2729"/>
    <w:rsid w:val="000E1784"/>
    <w:rsid w:val="000E2FCA"/>
    <w:rsid w:val="000E7534"/>
    <w:rsid w:val="000F4940"/>
    <w:rsid w:val="000F79FB"/>
    <w:rsid w:val="000F7AC9"/>
    <w:rsid w:val="00107858"/>
    <w:rsid w:val="00115222"/>
    <w:rsid w:val="0011610C"/>
    <w:rsid w:val="0012037B"/>
    <w:rsid w:val="00120893"/>
    <w:rsid w:val="00130DDC"/>
    <w:rsid w:val="00134F01"/>
    <w:rsid w:val="001420A5"/>
    <w:rsid w:val="00143D4F"/>
    <w:rsid w:val="001460F3"/>
    <w:rsid w:val="001467E5"/>
    <w:rsid w:val="00153240"/>
    <w:rsid w:val="00157E1D"/>
    <w:rsid w:val="0017002E"/>
    <w:rsid w:val="00170B7D"/>
    <w:rsid w:val="00171467"/>
    <w:rsid w:val="00181A62"/>
    <w:rsid w:val="0018576D"/>
    <w:rsid w:val="001876FD"/>
    <w:rsid w:val="001957FC"/>
    <w:rsid w:val="001A0AD4"/>
    <w:rsid w:val="001A3B18"/>
    <w:rsid w:val="001A3C1C"/>
    <w:rsid w:val="001A621D"/>
    <w:rsid w:val="001B0F8C"/>
    <w:rsid w:val="001C020C"/>
    <w:rsid w:val="001C3A8F"/>
    <w:rsid w:val="001C4EEA"/>
    <w:rsid w:val="001C58B0"/>
    <w:rsid w:val="001D0681"/>
    <w:rsid w:val="001D4843"/>
    <w:rsid w:val="001E50EA"/>
    <w:rsid w:val="001E5747"/>
    <w:rsid w:val="001E58BC"/>
    <w:rsid w:val="001F068D"/>
    <w:rsid w:val="001F6A2F"/>
    <w:rsid w:val="002035EB"/>
    <w:rsid w:val="0020592E"/>
    <w:rsid w:val="0020735C"/>
    <w:rsid w:val="002077EB"/>
    <w:rsid w:val="00211FAC"/>
    <w:rsid w:val="00221F07"/>
    <w:rsid w:val="00222384"/>
    <w:rsid w:val="002250F0"/>
    <w:rsid w:val="0022759C"/>
    <w:rsid w:val="00234EEE"/>
    <w:rsid w:val="00243442"/>
    <w:rsid w:val="00254CF0"/>
    <w:rsid w:val="00265C2B"/>
    <w:rsid w:val="00286237"/>
    <w:rsid w:val="00290DD4"/>
    <w:rsid w:val="00295D85"/>
    <w:rsid w:val="002A3A57"/>
    <w:rsid w:val="002A7AB7"/>
    <w:rsid w:val="002B3DDE"/>
    <w:rsid w:val="002C0975"/>
    <w:rsid w:val="002C0C05"/>
    <w:rsid w:val="002C5FA7"/>
    <w:rsid w:val="002C68FA"/>
    <w:rsid w:val="002D0FF1"/>
    <w:rsid w:val="002D3165"/>
    <w:rsid w:val="002E207A"/>
    <w:rsid w:val="002E3E65"/>
    <w:rsid w:val="002E52FB"/>
    <w:rsid w:val="002F68B9"/>
    <w:rsid w:val="00302B5A"/>
    <w:rsid w:val="00303FD3"/>
    <w:rsid w:val="00306609"/>
    <w:rsid w:val="003169D2"/>
    <w:rsid w:val="00317892"/>
    <w:rsid w:val="003258F4"/>
    <w:rsid w:val="00332B45"/>
    <w:rsid w:val="00336830"/>
    <w:rsid w:val="00341EB4"/>
    <w:rsid w:val="00345518"/>
    <w:rsid w:val="00346817"/>
    <w:rsid w:val="003511E6"/>
    <w:rsid w:val="00352748"/>
    <w:rsid w:val="00360AB4"/>
    <w:rsid w:val="003667C5"/>
    <w:rsid w:val="00367421"/>
    <w:rsid w:val="00371FC4"/>
    <w:rsid w:val="0038326B"/>
    <w:rsid w:val="00393DE6"/>
    <w:rsid w:val="0039416D"/>
    <w:rsid w:val="00396D48"/>
    <w:rsid w:val="003A41E8"/>
    <w:rsid w:val="003A4283"/>
    <w:rsid w:val="003A7D0F"/>
    <w:rsid w:val="003B41C4"/>
    <w:rsid w:val="003B4C48"/>
    <w:rsid w:val="003B5C41"/>
    <w:rsid w:val="003C40D5"/>
    <w:rsid w:val="003D3265"/>
    <w:rsid w:val="003E630B"/>
    <w:rsid w:val="003F0769"/>
    <w:rsid w:val="00404FC1"/>
    <w:rsid w:val="004056FF"/>
    <w:rsid w:val="004108BF"/>
    <w:rsid w:val="00411018"/>
    <w:rsid w:val="00412048"/>
    <w:rsid w:val="004168F5"/>
    <w:rsid w:val="00416938"/>
    <w:rsid w:val="0043366E"/>
    <w:rsid w:val="00445913"/>
    <w:rsid w:val="00447149"/>
    <w:rsid w:val="004507C1"/>
    <w:rsid w:val="0045529C"/>
    <w:rsid w:val="004637A1"/>
    <w:rsid w:val="00463D26"/>
    <w:rsid w:val="004642C2"/>
    <w:rsid w:val="004719EC"/>
    <w:rsid w:val="00474529"/>
    <w:rsid w:val="00485773"/>
    <w:rsid w:val="00485A0F"/>
    <w:rsid w:val="00490D4C"/>
    <w:rsid w:val="00491C77"/>
    <w:rsid w:val="004A40F5"/>
    <w:rsid w:val="004B1DFF"/>
    <w:rsid w:val="004C0C9F"/>
    <w:rsid w:val="004C5641"/>
    <w:rsid w:val="004D06DC"/>
    <w:rsid w:val="004D07B7"/>
    <w:rsid w:val="004E7333"/>
    <w:rsid w:val="004E767F"/>
    <w:rsid w:val="004F09DE"/>
    <w:rsid w:val="004F312B"/>
    <w:rsid w:val="004F32CD"/>
    <w:rsid w:val="00503612"/>
    <w:rsid w:val="005123FC"/>
    <w:rsid w:val="00517F6F"/>
    <w:rsid w:val="005201F6"/>
    <w:rsid w:val="0052650E"/>
    <w:rsid w:val="0053276B"/>
    <w:rsid w:val="00541C70"/>
    <w:rsid w:val="005423EC"/>
    <w:rsid w:val="0054677E"/>
    <w:rsid w:val="00547C4C"/>
    <w:rsid w:val="00547DB6"/>
    <w:rsid w:val="00551A12"/>
    <w:rsid w:val="00551A16"/>
    <w:rsid w:val="00551B76"/>
    <w:rsid w:val="00552258"/>
    <w:rsid w:val="00554E85"/>
    <w:rsid w:val="00565AEB"/>
    <w:rsid w:val="00572B7C"/>
    <w:rsid w:val="00574212"/>
    <w:rsid w:val="00575CA2"/>
    <w:rsid w:val="005765BC"/>
    <w:rsid w:val="0057767D"/>
    <w:rsid w:val="00583134"/>
    <w:rsid w:val="005839C7"/>
    <w:rsid w:val="0058488D"/>
    <w:rsid w:val="00585F16"/>
    <w:rsid w:val="00586852"/>
    <w:rsid w:val="00587986"/>
    <w:rsid w:val="00592993"/>
    <w:rsid w:val="00596A36"/>
    <w:rsid w:val="00597133"/>
    <w:rsid w:val="005977AA"/>
    <w:rsid w:val="005A3731"/>
    <w:rsid w:val="005B1286"/>
    <w:rsid w:val="005B1372"/>
    <w:rsid w:val="005B451B"/>
    <w:rsid w:val="005B5D65"/>
    <w:rsid w:val="005B7C45"/>
    <w:rsid w:val="005C1075"/>
    <w:rsid w:val="005C3B37"/>
    <w:rsid w:val="005E0308"/>
    <w:rsid w:val="005E11BA"/>
    <w:rsid w:val="005E395A"/>
    <w:rsid w:val="005E3E68"/>
    <w:rsid w:val="005F0117"/>
    <w:rsid w:val="005F24BA"/>
    <w:rsid w:val="005F2836"/>
    <w:rsid w:val="005F3D09"/>
    <w:rsid w:val="005F6259"/>
    <w:rsid w:val="00604951"/>
    <w:rsid w:val="006061A8"/>
    <w:rsid w:val="006213AD"/>
    <w:rsid w:val="00621C55"/>
    <w:rsid w:val="006249E0"/>
    <w:rsid w:val="00626C9D"/>
    <w:rsid w:val="00641586"/>
    <w:rsid w:val="006601CA"/>
    <w:rsid w:val="00675381"/>
    <w:rsid w:val="00675A0F"/>
    <w:rsid w:val="006807F9"/>
    <w:rsid w:val="0068231F"/>
    <w:rsid w:val="00683B4E"/>
    <w:rsid w:val="0068444C"/>
    <w:rsid w:val="00685680"/>
    <w:rsid w:val="006A1136"/>
    <w:rsid w:val="006A5133"/>
    <w:rsid w:val="006B0ABD"/>
    <w:rsid w:val="006B62F3"/>
    <w:rsid w:val="006C4AD3"/>
    <w:rsid w:val="006C7464"/>
    <w:rsid w:val="006D27EA"/>
    <w:rsid w:val="006E2BD2"/>
    <w:rsid w:val="006E6A18"/>
    <w:rsid w:val="006F5A37"/>
    <w:rsid w:val="006F744E"/>
    <w:rsid w:val="00701BF6"/>
    <w:rsid w:val="00704DFD"/>
    <w:rsid w:val="00706B7C"/>
    <w:rsid w:val="0072290C"/>
    <w:rsid w:val="00723BF4"/>
    <w:rsid w:val="00724523"/>
    <w:rsid w:val="0072491F"/>
    <w:rsid w:val="00733A61"/>
    <w:rsid w:val="007448BC"/>
    <w:rsid w:val="00744D63"/>
    <w:rsid w:val="00746309"/>
    <w:rsid w:val="00756717"/>
    <w:rsid w:val="00772246"/>
    <w:rsid w:val="00773BA5"/>
    <w:rsid w:val="007746D4"/>
    <w:rsid w:val="00774B80"/>
    <w:rsid w:val="00775996"/>
    <w:rsid w:val="00777BE0"/>
    <w:rsid w:val="00790713"/>
    <w:rsid w:val="00793995"/>
    <w:rsid w:val="00794142"/>
    <w:rsid w:val="007970E3"/>
    <w:rsid w:val="007A07EF"/>
    <w:rsid w:val="007A3215"/>
    <w:rsid w:val="007D31C1"/>
    <w:rsid w:val="007D3475"/>
    <w:rsid w:val="007D6277"/>
    <w:rsid w:val="007D6932"/>
    <w:rsid w:val="007D783C"/>
    <w:rsid w:val="007E1049"/>
    <w:rsid w:val="007E5B1A"/>
    <w:rsid w:val="007F0290"/>
    <w:rsid w:val="00801B9E"/>
    <w:rsid w:val="00805A2D"/>
    <w:rsid w:val="00805E17"/>
    <w:rsid w:val="008148DA"/>
    <w:rsid w:val="008209A8"/>
    <w:rsid w:val="008209FE"/>
    <w:rsid w:val="00823135"/>
    <w:rsid w:val="00827193"/>
    <w:rsid w:val="00842308"/>
    <w:rsid w:val="00857B11"/>
    <w:rsid w:val="00864518"/>
    <w:rsid w:val="008660BC"/>
    <w:rsid w:val="00881341"/>
    <w:rsid w:val="00882734"/>
    <w:rsid w:val="00885CBC"/>
    <w:rsid w:val="00887F0A"/>
    <w:rsid w:val="008912B2"/>
    <w:rsid w:val="008A020D"/>
    <w:rsid w:val="008B1E2D"/>
    <w:rsid w:val="008B6B1B"/>
    <w:rsid w:val="008B7C07"/>
    <w:rsid w:val="008C156A"/>
    <w:rsid w:val="008D0336"/>
    <w:rsid w:val="008D3020"/>
    <w:rsid w:val="008E021F"/>
    <w:rsid w:val="008F366D"/>
    <w:rsid w:val="008F76DD"/>
    <w:rsid w:val="0090390F"/>
    <w:rsid w:val="00904B0F"/>
    <w:rsid w:val="009108C2"/>
    <w:rsid w:val="009151DC"/>
    <w:rsid w:val="00920154"/>
    <w:rsid w:val="0092712D"/>
    <w:rsid w:val="00936853"/>
    <w:rsid w:val="00945B4C"/>
    <w:rsid w:val="00953324"/>
    <w:rsid w:val="00955CAB"/>
    <w:rsid w:val="00955DD4"/>
    <w:rsid w:val="00955EFB"/>
    <w:rsid w:val="009604F6"/>
    <w:rsid w:val="00964806"/>
    <w:rsid w:val="0097278B"/>
    <w:rsid w:val="00972862"/>
    <w:rsid w:val="00974D21"/>
    <w:rsid w:val="009776D0"/>
    <w:rsid w:val="00981CF2"/>
    <w:rsid w:val="00984FD7"/>
    <w:rsid w:val="0099101C"/>
    <w:rsid w:val="00994184"/>
    <w:rsid w:val="009A7EF0"/>
    <w:rsid w:val="009B2122"/>
    <w:rsid w:val="009C08A7"/>
    <w:rsid w:val="009C5AAB"/>
    <w:rsid w:val="009C648D"/>
    <w:rsid w:val="009D782D"/>
    <w:rsid w:val="009D7E53"/>
    <w:rsid w:val="009E1171"/>
    <w:rsid w:val="009E3CEF"/>
    <w:rsid w:val="009E3FEE"/>
    <w:rsid w:val="009E4449"/>
    <w:rsid w:val="009F2DC1"/>
    <w:rsid w:val="009F3AAC"/>
    <w:rsid w:val="009F3CD6"/>
    <w:rsid w:val="00A01250"/>
    <w:rsid w:val="00A01D51"/>
    <w:rsid w:val="00A05FCC"/>
    <w:rsid w:val="00A06AB2"/>
    <w:rsid w:val="00A079D3"/>
    <w:rsid w:val="00A1381D"/>
    <w:rsid w:val="00A21BD2"/>
    <w:rsid w:val="00A223FA"/>
    <w:rsid w:val="00A30948"/>
    <w:rsid w:val="00A4452B"/>
    <w:rsid w:val="00A4488F"/>
    <w:rsid w:val="00A4592B"/>
    <w:rsid w:val="00A560C2"/>
    <w:rsid w:val="00A57B8A"/>
    <w:rsid w:val="00A609CE"/>
    <w:rsid w:val="00A70955"/>
    <w:rsid w:val="00A868E5"/>
    <w:rsid w:val="00A9030B"/>
    <w:rsid w:val="00A94C10"/>
    <w:rsid w:val="00A968F3"/>
    <w:rsid w:val="00AB5CF5"/>
    <w:rsid w:val="00AB73D1"/>
    <w:rsid w:val="00AC0F0B"/>
    <w:rsid w:val="00AC1E45"/>
    <w:rsid w:val="00AC7134"/>
    <w:rsid w:val="00AC7321"/>
    <w:rsid w:val="00AC79B8"/>
    <w:rsid w:val="00AD0F29"/>
    <w:rsid w:val="00AD6964"/>
    <w:rsid w:val="00AD7061"/>
    <w:rsid w:val="00AD77B1"/>
    <w:rsid w:val="00AE2B88"/>
    <w:rsid w:val="00AE32F9"/>
    <w:rsid w:val="00AE4656"/>
    <w:rsid w:val="00AE76D0"/>
    <w:rsid w:val="00AF5690"/>
    <w:rsid w:val="00AF5AB9"/>
    <w:rsid w:val="00B104D5"/>
    <w:rsid w:val="00B13C77"/>
    <w:rsid w:val="00B143ED"/>
    <w:rsid w:val="00B1504C"/>
    <w:rsid w:val="00B152D8"/>
    <w:rsid w:val="00B22CD8"/>
    <w:rsid w:val="00B23710"/>
    <w:rsid w:val="00B34109"/>
    <w:rsid w:val="00B409F6"/>
    <w:rsid w:val="00B42B63"/>
    <w:rsid w:val="00B44AB6"/>
    <w:rsid w:val="00B52D71"/>
    <w:rsid w:val="00B61E17"/>
    <w:rsid w:val="00B754B2"/>
    <w:rsid w:val="00B75FC7"/>
    <w:rsid w:val="00B81E89"/>
    <w:rsid w:val="00B82D1A"/>
    <w:rsid w:val="00B92373"/>
    <w:rsid w:val="00B93774"/>
    <w:rsid w:val="00B9632C"/>
    <w:rsid w:val="00BA2DAD"/>
    <w:rsid w:val="00BB0D2A"/>
    <w:rsid w:val="00BB4946"/>
    <w:rsid w:val="00BC2071"/>
    <w:rsid w:val="00BC3A08"/>
    <w:rsid w:val="00BC5A67"/>
    <w:rsid w:val="00BD07AD"/>
    <w:rsid w:val="00BD0C53"/>
    <w:rsid w:val="00BD3F4A"/>
    <w:rsid w:val="00BD4F09"/>
    <w:rsid w:val="00BD7110"/>
    <w:rsid w:val="00BE2B56"/>
    <w:rsid w:val="00BE2F9B"/>
    <w:rsid w:val="00BE3015"/>
    <w:rsid w:val="00BE3858"/>
    <w:rsid w:val="00BE791D"/>
    <w:rsid w:val="00BF74A0"/>
    <w:rsid w:val="00C1348C"/>
    <w:rsid w:val="00C1469D"/>
    <w:rsid w:val="00C20F9B"/>
    <w:rsid w:val="00C2568D"/>
    <w:rsid w:val="00C3501E"/>
    <w:rsid w:val="00C442F4"/>
    <w:rsid w:val="00C45E63"/>
    <w:rsid w:val="00C55100"/>
    <w:rsid w:val="00C551E2"/>
    <w:rsid w:val="00C57B74"/>
    <w:rsid w:val="00C57F48"/>
    <w:rsid w:val="00C60CC6"/>
    <w:rsid w:val="00C66028"/>
    <w:rsid w:val="00C66592"/>
    <w:rsid w:val="00C96ACC"/>
    <w:rsid w:val="00C96E18"/>
    <w:rsid w:val="00C973BE"/>
    <w:rsid w:val="00CA1251"/>
    <w:rsid w:val="00CA2393"/>
    <w:rsid w:val="00CA349F"/>
    <w:rsid w:val="00CA3B32"/>
    <w:rsid w:val="00CB22A9"/>
    <w:rsid w:val="00CB3FD2"/>
    <w:rsid w:val="00CD4565"/>
    <w:rsid w:val="00CE4ED2"/>
    <w:rsid w:val="00D0002B"/>
    <w:rsid w:val="00D009CA"/>
    <w:rsid w:val="00D03DFD"/>
    <w:rsid w:val="00D05A98"/>
    <w:rsid w:val="00D15B77"/>
    <w:rsid w:val="00D223B2"/>
    <w:rsid w:val="00D34116"/>
    <w:rsid w:val="00D36893"/>
    <w:rsid w:val="00D5224E"/>
    <w:rsid w:val="00D5773E"/>
    <w:rsid w:val="00D63187"/>
    <w:rsid w:val="00D66916"/>
    <w:rsid w:val="00D74793"/>
    <w:rsid w:val="00D7747D"/>
    <w:rsid w:val="00D800C7"/>
    <w:rsid w:val="00D8153B"/>
    <w:rsid w:val="00D82D88"/>
    <w:rsid w:val="00D84B48"/>
    <w:rsid w:val="00D865C7"/>
    <w:rsid w:val="00D86AEB"/>
    <w:rsid w:val="00D90B41"/>
    <w:rsid w:val="00D9315F"/>
    <w:rsid w:val="00DA2543"/>
    <w:rsid w:val="00DA3870"/>
    <w:rsid w:val="00DA69A1"/>
    <w:rsid w:val="00DA74EC"/>
    <w:rsid w:val="00DA788F"/>
    <w:rsid w:val="00DB2C37"/>
    <w:rsid w:val="00DB3A1B"/>
    <w:rsid w:val="00DB4516"/>
    <w:rsid w:val="00DC07D2"/>
    <w:rsid w:val="00DD3ECC"/>
    <w:rsid w:val="00DD49F9"/>
    <w:rsid w:val="00DF2A84"/>
    <w:rsid w:val="00DF353C"/>
    <w:rsid w:val="00DF3653"/>
    <w:rsid w:val="00E05231"/>
    <w:rsid w:val="00E120AF"/>
    <w:rsid w:val="00E133B1"/>
    <w:rsid w:val="00E15D41"/>
    <w:rsid w:val="00E307C7"/>
    <w:rsid w:val="00E317FA"/>
    <w:rsid w:val="00E31A81"/>
    <w:rsid w:val="00E43B68"/>
    <w:rsid w:val="00E45435"/>
    <w:rsid w:val="00E53773"/>
    <w:rsid w:val="00E57468"/>
    <w:rsid w:val="00E62AEC"/>
    <w:rsid w:val="00E63F5D"/>
    <w:rsid w:val="00E8793B"/>
    <w:rsid w:val="00EA01A9"/>
    <w:rsid w:val="00EA1965"/>
    <w:rsid w:val="00EB1069"/>
    <w:rsid w:val="00EB2081"/>
    <w:rsid w:val="00EB393B"/>
    <w:rsid w:val="00EC5F6E"/>
    <w:rsid w:val="00EC7D97"/>
    <w:rsid w:val="00ED0E22"/>
    <w:rsid w:val="00EF254A"/>
    <w:rsid w:val="00EF7A32"/>
    <w:rsid w:val="00F0025C"/>
    <w:rsid w:val="00F03AB8"/>
    <w:rsid w:val="00F11800"/>
    <w:rsid w:val="00F2193C"/>
    <w:rsid w:val="00F21D43"/>
    <w:rsid w:val="00F263EE"/>
    <w:rsid w:val="00F30CF9"/>
    <w:rsid w:val="00F32B49"/>
    <w:rsid w:val="00F3621A"/>
    <w:rsid w:val="00F3677D"/>
    <w:rsid w:val="00F40960"/>
    <w:rsid w:val="00F40E15"/>
    <w:rsid w:val="00F56EA9"/>
    <w:rsid w:val="00F571D6"/>
    <w:rsid w:val="00F6040C"/>
    <w:rsid w:val="00F62827"/>
    <w:rsid w:val="00F65A80"/>
    <w:rsid w:val="00F7528F"/>
    <w:rsid w:val="00F77381"/>
    <w:rsid w:val="00F84AD2"/>
    <w:rsid w:val="00F9704C"/>
    <w:rsid w:val="00FA3F8C"/>
    <w:rsid w:val="00FB4C74"/>
    <w:rsid w:val="00FB4FB7"/>
    <w:rsid w:val="00FB5EBB"/>
    <w:rsid w:val="00FB6307"/>
    <w:rsid w:val="00FC0619"/>
    <w:rsid w:val="00FC17AB"/>
    <w:rsid w:val="00FC2C4C"/>
    <w:rsid w:val="00FD5C42"/>
    <w:rsid w:val="00FF36ED"/>
    <w:rsid w:val="0F4A4610"/>
    <w:rsid w:val="3EFB0025"/>
    <w:rsid w:val="3F997872"/>
    <w:rsid w:val="3FF91DC6"/>
    <w:rsid w:val="42EBBB17"/>
    <w:rsid w:val="57CB1C12"/>
    <w:rsid w:val="5E764BD4"/>
    <w:rsid w:val="5EFD1A9A"/>
    <w:rsid w:val="5F2F761F"/>
    <w:rsid w:val="5FBDB2EE"/>
    <w:rsid w:val="67FF2B11"/>
    <w:rsid w:val="68F4D2B7"/>
    <w:rsid w:val="6EFF9332"/>
    <w:rsid w:val="77DE82AB"/>
    <w:rsid w:val="77F3121B"/>
    <w:rsid w:val="7AEF9CDC"/>
    <w:rsid w:val="7F375A53"/>
    <w:rsid w:val="7F675B67"/>
    <w:rsid w:val="7FB78DC7"/>
    <w:rsid w:val="7FBF9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59809A8"/>
  <w15:docId w15:val="{4FEFE24B-6F24-4EE5-9F89-E323F274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宋体" w:eastAsia="宋体" w:hAnsi="宋体" w:cs="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120"/>
    </w:pPr>
    <w:rPr>
      <w:sz w:val="30"/>
      <w:szCs w:val="3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uiPriority w:val="99"/>
    <w:semiHidden/>
    <w:unhideWhenUsed/>
    <w:qFormat/>
    <w:pPr>
      <w:autoSpaceDE/>
      <w:autoSpaceDN/>
      <w:snapToGrid w:val="0"/>
    </w:pPr>
    <w:rPr>
      <w:rFonts w:asciiTheme="minorHAnsi" w:eastAsiaTheme="minorEastAsia" w:hAnsiTheme="minorHAnsi" w:cstheme="minorBidi"/>
      <w:kern w:val="2"/>
      <w:sz w:val="18"/>
      <w:szCs w:val="18"/>
    </w:rPr>
  </w:style>
  <w:style w:type="paragraph" w:styleId="ad">
    <w:name w:val="Normal (Web)"/>
    <w:basedOn w:val="a"/>
    <w:uiPriority w:val="99"/>
    <w:semiHidden/>
    <w:unhideWhenUsed/>
    <w:qFormat/>
    <w:rPr>
      <w:sz w:val="24"/>
    </w:rPr>
  </w:style>
  <w:style w:type="character" w:styleId="ae">
    <w:name w:val="footnote reference"/>
    <w:basedOn w:val="a0"/>
    <w:uiPriority w:val="99"/>
    <w:semiHidden/>
    <w:unhideWhenUsed/>
    <w:qFormat/>
    <w:rPr>
      <w:vertAlign w:val="superscript"/>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正文文本 字符"/>
    <w:basedOn w:val="a0"/>
    <w:link w:val="a3"/>
    <w:uiPriority w:val="1"/>
    <w:qFormat/>
    <w:rPr>
      <w:rFonts w:ascii="宋体" w:eastAsia="宋体" w:hAnsi="宋体" w:cs="宋体"/>
      <w:kern w:val="0"/>
      <w:sz w:val="30"/>
      <w:szCs w:val="30"/>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style>
  <w:style w:type="character" w:customStyle="1" w:styleId="a6">
    <w:name w:val="批注框文本 字符"/>
    <w:basedOn w:val="a0"/>
    <w:link w:val="a5"/>
    <w:uiPriority w:val="99"/>
    <w:semiHidden/>
    <w:qFormat/>
    <w:rPr>
      <w:rFonts w:ascii="宋体" w:eastAsia="宋体" w:hAnsi="宋体" w:cs="宋体"/>
      <w:kern w:val="0"/>
      <w:sz w:val="18"/>
      <w:szCs w:val="18"/>
    </w:rPr>
  </w:style>
  <w:style w:type="character" w:customStyle="1" w:styleId="ac">
    <w:name w:val="脚注文本 字符"/>
    <w:basedOn w:val="a0"/>
    <w:link w:val="ab"/>
    <w:uiPriority w:val="99"/>
    <w:semiHidden/>
    <w:qFormat/>
    <w:rPr>
      <w:kern w:val="2"/>
      <w:sz w:val="18"/>
      <w:szCs w:val="18"/>
    </w:rPr>
  </w:style>
  <w:style w:type="paragraph" w:customStyle="1" w:styleId="1">
    <w:name w:val="脚注文本1"/>
    <w:basedOn w:val="a"/>
    <w:next w:val="ab"/>
    <w:uiPriority w:val="99"/>
    <w:semiHidden/>
    <w:unhideWhenUsed/>
    <w:qFormat/>
    <w:pPr>
      <w:autoSpaceDE/>
      <w:autoSpaceDN/>
      <w:snapToGrid w:val="0"/>
    </w:pPr>
    <w:rPr>
      <w:rFonts w:ascii="Calibri"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207</Words>
  <Characters>1184</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WenLiang Zhang</cp:lastModifiedBy>
  <cp:revision>4</cp:revision>
  <cp:lastPrinted>2025-07-26T11:02:00Z</cp:lastPrinted>
  <dcterms:created xsi:type="dcterms:W3CDTF">2024-10-06T09:06:00Z</dcterms:created>
  <dcterms:modified xsi:type="dcterms:W3CDTF">2025-10-09T13:28:00Z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