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BF6B2" w14:textId="77777777" w:rsidR="009A7EF0" w:rsidRDefault="00000000">
      <w:pPr>
        <w:pStyle w:val="a3"/>
        <w:overflowPunct w:val="0"/>
        <w:adjustRightInd w:val="0"/>
        <w:snapToGrid w:val="0"/>
        <w:spacing w:line="600" w:lineRule="exact"/>
        <w:jc w:val="both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 xml:space="preserve"> 2</w:t>
      </w:r>
    </w:p>
    <w:p w14:paraId="3343CE53" w14:textId="77777777" w:rsidR="009A7EF0" w:rsidRDefault="00000000">
      <w:pPr>
        <w:pStyle w:val="a3"/>
        <w:overflowPunct w:val="0"/>
        <w:adjustRightInd w:val="0"/>
        <w:snapToGrid w:val="0"/>
        <w:spacing w:line="600" w:lineRule="exact"/>
        <w:ind w:left="0"/>
        <w:jc w:val="center"/>
        <w:rPr>
          <w:rFonts w:ascii="方正大标宋简体" w:eastAsia="方正大标宋简体" w:hAnsi="Times New Roman"/>
          <w:sz w:val="44"/>
          <w:szCs w:val="32"/>
        </w:rPr>
      </w:pPr>
      <w:r>
        <w:rPr>
          <w:rFonts w:ascii="方正大标宋简体" w:eastAsia="方正大标宋简体" w:hAnsi="Times New Roman" w:hint="eastAsia"/>
          <w:sz w:val="44"/>
          <w:szCs w:val="32"/>
        </w:rPr>
        <w:t>评价指标内容及赋值方式</w:t>
      </w:r>
    </w:p>
    <w:p w14:paraId="4B4F20D1" w14:textId="77777777" w:rsidR="009A7EF0" w:rsidRDefault="009A7EF0">
      <w:pPr>
        <w:pStyle w:val="a3"/>
        <w:overflowPunct w:val="0"/>
        <w:adjustRightInd w:val="0"/>
        <w:snapToGrid w:val="0"/>
        <w:spacing w:line="600" w:lineRule="exact"/>
        <w:ind w:left="640" w:firstLineChars="200" w:firstLine="640"/>
        <w:rPr>
          <w:rFonts w:ascii="Times New Roman" w:eastAsia="仿宋" w:hAnsi="Times New Roman"/>
          <w:sz w:val="32"/>
          <w:szCs w:val="32"/>
        </w:rPr>
      </w:pPr>
    </w:p>
    <w:tbl>
      <w:tblPr>
        <w:tblStyle w:val="TableNormal"/>
        <w:tblW w:w="6396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8"/>
        <w:gridCol w:w="1168"/>
        <w:gridCol w:w="2046"/>
        <w:gridCol w:w="3719"/>
        <w:gridCol w:w="3191"/>
      </w:tblGrid>
      <w:tr w:rsidR="009A7EF0" w14:paraId="0FAC33A5" w14:textId="77777777">
        <w:trPr>
          <w:tblHeader/>
          <w:jc w:val="center"/>
        </w:trPr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AAC386" w14:textId="77777777" w:rsidR="009A7EF0" w:rsidRDefault="0000000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proofErr w:type="spellStart"/>
            <w:r>
              <w:rPr>
                <w:rFonts w:ascii="黑体" w:eastAsia="黑体" w:hAnsi="黑体"/>
                <w:spacing w:val="-5"/>
                <w:sz w:val="24"/>
                <w:szCs w:val="28"/>
              </w:rPr>
              <w:t>内容</w:t>
            </w:r>
            <w:proofErr w:type="spellEnd"/>
          </w:p>
        </w:tc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1BBE19" w14:textId="77777777" w:rsidR="009A7EF0" w:rsidRDefault="0000000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proofErr w:type="spellStart"/>
            <w:r>
              <w:rPr>
                <w:rFonts w:ascii="黑体" w:eastAsia="黑体" w:hAnsi="黑体"/>
                <w:spacing w:val="-3"/>
                <w:sz w:val="24"/>
                <w:szCs w:val="28"/>
              </w:rPr>
              <w:t>二级指标</w:t>
            </w:r>
            <w:proofErr w:type="spellEnd"/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58BDCC" w14:textId="77777777" w:rsidR="009A7EF0" w:rsidRDefault="0000000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proofErr w:type="spellStart"/>
            <w:r>
              <w:rPr>
                <w:rFonts w:ascii="黑体" w:eastAsia="黑体" w:hAnsi="黑体"/>
                <w:spacing w:val="-3"/>
                <w:sz w:val="24"/>
                <w:szCs w:val="28"/>
              </w:rPr>
              <w:t>三级指标</w:t>
            </w:r>
            <w:proofErr w:type="spellEnd"/>
          </w:p>
        </w:tc>
        <w:tc>
          <w:tcPr>
            <w:tcW w:w="3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75E034" w14:textId="77777777" w:rsidR="009A7EF0" w:rsidRDefault="0000000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proofErr w:type="spellStart"/>
            <w:r>
              <w:rPr>
                <w:rFonts w:ascii="黑体" w:eastAsia="黑体" w:hAnsi="黑体"/>
                <w:spacing w:val="-3"/>
                <w:sz w:val="24"/>
                <w:szCs w:val="28"/>
              </w:rPr>
              <w:t>四级指标</w:t>
            </w:r>
            <w:proofErr w:type="spellEnd"/>
          </w:p>
        </w:tc>
        <w:tc>
          <w:tcPr>
            <w:tcW w:w="3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26DB00" w14:textId="77777777" w:rsidR="009A7EF0" w:rsidRDefault="0000000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proofErr w:type="spellStart"/>
            <w:r>
              <w:rPr>
                <w:rFonts w:ascii="黑体" w:eastAsia="黑体" w:hAnsi="黑体"/>
                <w:spacing w:val="-3"/>
                <w:sz w:val="24"/>
                <w:szCs w:val="28"/>
              </w:rPr>
              <w:t>赋值方式</w:t>
            </w:r>
            <w:proofErr w:type="spellEnd"/>
          </w:p>
        </w:tc>
      </w:tr>
      <w:tr w:rsidR="009A7EF0" w14:paraId="42E68513" w14:textId="77777777">
        <w:trPr>
          <w:jc w:val="center"/>
        </w:trPr>
        <w:tc>
          <w:tcPr>
            <w:tcW w:w="1018" w:type="dxa"/>
            <w:vMerge w:val="restart"/>
            <w:tcBorders>
              <w:top w:val="single" w:sz="8" w:space="0" w:color="auto"/>
            </w:tcBorders>
            <w:vAlign w:val="center"/>
          </w:tcPr>
          <w:p w14:paraId="5C45ED99" w14:textId="77777777" w:rsidR="009A7EF0" w:rsidRDefault="0000000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>
              <w:rPr>
                <w:rFonts w:ascii="Times New Roman" w:eastAsia="仿宋" w:hAnsi="Times New Roman"/>
                <w:spacing w:val="-4"/>
                <w:sz w:val="24"/>
                <w:szCs w:val="28"/>
              </w:rPr>
              <w:t>上市公司</w:t>
            </w:r>
            <w:r>
              <w:rPr>
                <w:rFonts w:ascii="Times New Roman" w:eastAsia="仿宋" w:hAnsi="Times New Roman"/>
                <w:spacing w:val="-6"/>
                <w:sz w:val="24"/>
                <w:szCs w:val="28"/>
              </w:rPr>
              <w:t>质量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</w:rPr>
              <w:t>（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</w:rPr>
              <w:t>90%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</w:rPr>
              <w:t>）</w:t>
            </w:r>
          </w:p>
        </w:tc>
        <w:tc>
          <w:tcPr>
            <w:tcW w:w="1168" w:type="dxa"/>
            <w:vMerge w:val="restart"/>
            <w:tcBorders>
              <w:top w:val="single" w:sz="8" w:space="0" w:color="auto"/>
            </w:tcBorders>
            <w:vAlign w:val="center"/>
          </w:tcPr>
          <w:p w14:paraId="01B8EA51" w14:textId="77777777" w:rsidR="009A7EF0" w:rsidRDefault="0000000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>
              <w:rPr>
                <w:rFonts w:ascii="Times New Roman" w:eastAsia="仿宋" w:hAnsi="Times New Roman"/>
                <w:spacing w:val="-4"/>
                <w:sz w:val="24"/>
                <w:szCs w:val="28"/>
              </w:rPr>
              <w:t>公司经营质量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</w:rPr>
              <w:t>（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</w:rPr>
              <w:t>50%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</w:rPr>
              <w:t>）</w:t>
            </w:r>
          </w:p>
        </w:tc>
        <w:tc>
          <w:tcPr>
            <w:tcW w:w="2046" w:type="dxa"/>
            <w:vMerge w:val="restart"/>
            <w:tcBorders>
              <w:top w:val="single" w:sz="8" w:space="0" w:color="auto"/>
            </w:tcBorders>
            <w:vAlign w:val="center"/>
          </w:tcPr>
          <w:p w14:paraId="2E01CFD6" w14:textId="77777777" w:rsidR="009A7EF0" w:rsidRDefault="0000000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>
              <w:rPr>
                <w:rFonts w:ascii="Times New Roman" w:eastAsia="仿宋" w:hAnsi="Times New Roman"/>
                <w:spacing w:val="-2"/>
                <w:sz w:val="24"/>
                <w:szCs w:val="28"/>
              </w:rPr>
              <w:t>盈利能力</w:t>
            </w:r>
            <w:r>
              <w:rPr>
                <w:rFonts w:ascii="Times New Roman" w:eastAsia="仿宋" w:hAnsi="Times New Roman"/>
                <w:spacing w:val="-4"/>
                <w:sz w:val="24"/>
                <w:szCs w:val="28"/>
              </w:rPr>
              <w:t>（</w:t>
            </w:r>
            <w:r>
              <w:rPr>
                <w:rFonts w:ascii="Times New Roman" w:eastAsia="仿宋" w:hAnsi="Times New Roman"/>
                <w:spacing w:val="-4"/>
                <w:sz w:val="24"/>
                <w:szCs w:val="28"/>
              </w:rPr>
              <w:t>20%</w:t>
            </w:r>
            <w:r>
              <w:rPr>
                <w:rFonts w:ascii="Times New Roman" w:eastAsia="仿宋" w:hAnsi="Times New Roman"/>
                <w:spacing w:val="-4"/>
                <w:sz w:val="24"/>
                <w:szCs w:val="28"/>
              </w:rPr>
              <w:t>）</w:t>
            </w:r>
          </w:p>
        </w:tc>
        <w:tc>
          <w:tcPr>
            <w:tcW w:w="3719" w:type="dxa"/>
            <w:tcBorders>
              <w:top w:val="single" w:sz="8" w:space="0" w:color="auto"/>
            </w:tcBorders>
            <w:vAlign w:val="center"/>
          </w:tcPr>
          <w:p w14:paraId="168F173E" w14:textId="77777777" w:rsidR="009A7EF0" w:rsidRDefault="0000000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  <w:lang w:eastAsia="zh-CN"/>
              </w:rPr>
            </w:pPr>
            <w:proofErr w:type="gramStart"/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扣非归母净</w:t>
            </w:r>
            <w:proofErr w:type="gramEnd"/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利润规模</w:t>
            </w:r>
            <w:r>
              <w:rPr>
                <w:rFonts w:ascii="Times New Roman" w:eastAsia="仿宋" w:hAnsi="Times New Roman"/>
                <w:spacing w:val="-5"/>
                <w:sz w:val="24"/>
                <w:szCs w:val="28"/>
                <w:lang w:eastAsia="zh-CN"/>
              </w:rPr>
              <w:t>（</w:t>
            </w:r>
            <w:r>
              <w:rPr>
                <w:rFonts w:ascii="Times New Roman" w:eastAsia="仿宋" w:hAnsi="Times New Roman"/>
                <w:spacing w:val="-5"/>
                <w:sz w:val="24"/>
                <w:szCs w:val="28"/>
                <w:lang w:eastAsia="zh-CN"/>
              </w:rPr>
              <w:t>+</w:t>
            </w:r>
            <w:r>
              <w:rPr>
                <w:rFonts w:ascii="Times New Roman" w:eastAsia="仿宋" w:hAnsi="Times New Roman"/>
                <w:spacing w:val="-5"/>
                <w:sz w:val="24"/>
                <w:szCs w:val="28"/>
                <w:lang w:eastAsia="zh-CN"/>
              </w:rPr>
              <w:t>）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（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5%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3191" w:type="dxa"/>
            <w:vMerge w:val="restart"/>
            <w:tcBorders>
              <w:top w:val="single" w:sz="8" w:space="0" w:color="auto"/>
            </w:tcBorders>
            <w:vAlign w:val="center"/>
          </w:tcPr>
          <w:p w14:paraId="0A7B6F7B" w14:textId="77777777" w:rsidR="009A7EF0" w:rsidRDefault="0000000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both"/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</w:pPr>
            <w:r>
              <w:rPr>
                <w:rFonts w:ascii="Times New Roman" w:eastAsia="仿宋" w:hAnsi="Times New Roman" w:hint="eastAsia"/>
                <w:spacing w:val="-2"/>
                <w:sz w:val="24"/>
                <w:szCs w:val="28"/>
                <w:lang w:eastAsia="zh-CN"/>
              </w:rPr>
              <w:t>1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.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按指标值在</w:t>
            </w:r>
            <w:r>
              <w:rPr>
                <w:rFonts w:ascii="Times New Roman" w:eastAsia="仿宋" w:hAnsi="Times New Roman" w:hint="eastAsia"/>
                <w:spacing w:val="-2"/>
                <w:sz w:val="24"/>
                <w:szCs w:val="28"/>
                <w:lang w:eastAsia="zh-CN"/>
              </w:rPr>
              <w:t>北交所上市公司排序的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分位数</w:t>
            </w:r>
            <w:r>
              <w:rPr>
                <w:rFonts w:ascii="Times New Roman" w:eastAsia="仿宋" w:hAnsi="Times New Roman" w:hint="eastAsia"/>
                <w:spacing w:val="-2"/>
                <w:sz w:val="24"/>
                <w:szCs w:val="28"/>
                <w:lang w:eastAsia="zh-CN"/>
              </w:rPr>
              <w:t>赋分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。例如</w:t>
            </w:r>
            <w:r>
              <w:rPr>
                <w:rFonts w:ascii="Times New Roman" w:eastAsia="仿宋" w:hAnsi="Times New Roman" w:hint="eastAsia"/>
                <w:spacing w:val="-2"/>
                <w:sz w:val="24"/>
                <w:szCs w:val="28"/>
                <w:lang w:eastAsia="zh-CN"/>
              </w:rPr>
              <w:t>，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某公司某年</w:t>
            </w:r>
            <w:r>
              <w:rPr>
                <w:rFonts w:ascii="Times New Roman" w:eastAsia="仿宋" w:hAnsi="Times New Roman" w:hint="eastAsia"/>
                <w:spacing w:val="-2"/>
                <w:sz w:val="24"/>
                <w:szCs w:val="28"/>
                <w:lang w:eastAsia="zh-CN"/>
              </w:rPr>
              <w:t>营业收入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增速在</w:t>
            </w:r>
            <w:proofErr w:type="gramStart"/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全部北交</w:t>
            </w:r>
            <w:proofErr w:type="gramEnd"/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所上市公司中位于第</w:t>
            </w:r>
            <w:r>
              <w:rPr>
                <w:rFonts w:ascii="Times New Roman" w:eastAsia="仿宋" w:hAnsi="Times New Roman" w:hint="eastAsia"/>
                <w:spacing w:val="-2"/>
                <w:sz w:val="24"/>
                <w:szCs w:val="28"/>
                <w:lang w:eastAsia="zh-CN"/>
              </w:rPr>
              <w:t>1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5</w:t>
            </w:r>
            <w:r>
              <w:rPr>
                <w:rFonts w:ascii="Times New Roman" w:eastAsia="仿宋" w:hAnsi="Times New Roman" w:hint="eastAsia"/>
                <w:spacing w:val="-2"/>
                <w:sz w:val="24"/>
                <w:szCs w:val="28"/>
                <w:lang w:eastAsia="zh-CN"/>
              </w:rPr>
              <w:t>%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分位</w:t>
            </w:r>
            <w:r>
              <w:rPr>
                <w:rFonts w:ascii="Times New Roman" w:eastAsia="仿宋" w:hAnsi="Times New Roman" w:hint="eastAsia"/>
                <w:spacing w:val="-2"/>
                <w:sz w:val="24"/>
                <w:szCs w:val="28"/>
                <w:lang w:eastAsia="zh-CN"/>
              </w:rPr>
              <w:t>（按由高到低排序），则赋值</w:t>
            </w:r>
            <w:r>
              <w:rPr>
                <w:rFonts w:ascii="Times New Roman" w:eastAsia="仿宋" w:hAnsi="Times New Roman" w:hint="eastAsia"/>
                <w:spacing w:val="-2"/>
                <w:sz w:val="24"/>
                <w:szCs w:val="28"/>
                <w:lang w:eastAsia="zh-CN"/>
              </w:rPr>
              <w:t>8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5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分</w:t>
            </w:r>
            <w:r>
              <w:rPr>
                <w:rFonts w:ascii="Times New Roman" w:eastAsia="仿宋" w:hAnsi="Times New Roman" w:hint="eastAsia"/>
                <w:spacing w:val="-2"/>
                <w:sz w:val="24"/>
                <w:szCs w:val="28"/>
                <w:lang w:eastAsia="zh-CN"/>
              </w:rPr>
              <w:t>。</w:t>
            </w:r>
          </w:p>
          <w:p w14:paraId="3C707FE0" w14:textId="77777777" w:rsidR="009A7EF0" w:rsidRDefault="0000000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both"/>
              <w:rPr>
                <w:rFonts w:ascii="Times New Roman" w:eastAsia="仿宋" w:hAnsi="Times New Roman"/>
                <w:sz w:val="24"/>
                <w:szCs w:val="28"/>
                <w:lang w:eastAsia="zh-CN"/>
              </w:rPr>
            </w:pPr>
            <w:r>
              <w:rPr>
                <w:rFonts w:ascii="Times New Roman" w:eastAsia="仿宋" w:hAnsi="Times New Roman" w:hint="eastAsia"/>
                <w:spacing w:val="-2"/>
                <w:sz w:val="24"/>
                <w:szCs w:val="28"/>
                <w:lang w:eastAsia="zh-CN"/>
              </w:rPr>
              <w:t>2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.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业绩下滑调整为扣分指标</w:t>
            </w:r>
            <w:r>
              <w:rPr>
                <w:rFonts w:ascii="Times New Roman" w:eastAsia="仿宋" w:hAnsi="Times New Roman" w:hint="eastAsia"/>
                <w:spacing w:val="-2"/>
                <w:sz w:val="24"/>
                <w:szCs w:val="28"/>
                <w:lang w:eastAsia="zh-CN"/>
              </w:rPr>
              <w:t>。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营业收入或</w:t>
            </w:r>
            <w:proofErr w:type="gramStart"/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扣非归母净</w:t>
            </w:r>
            <w:proofErr w:type="gramEnd"/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利润同比下滑超过</w:t>
            </w:r>
            <w:r>
              <w:rPr>
                <w:rFonts w:ascii="Times New Roman" w:eastAsia="仿宋" w:hAnsi="Times New Roman" w:hint="eastAsia"/>
                <w:spacing w:val="-2"/>
                <w:sz w:val="24"/>
                <w:szCs w:val="28"/>
                <w:lang w:eastAsia="zh-CN"/>
              </w:rPr>
              <w:t>5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0</w:t>
            </w:r>
            <w:r>
              <w:rPr>
                <w:rFonts w:ascii="Times New Roman" w:eastAsia="仿宋" w:hAnsi="Times New Roman" w:hint="eastAsia"/>
                <w:spacing w:val="-2"/>
                <w:sz w:val="24"/>
                <w:szCs w:val="28"/>
                <w:lang w:eastAsia="zh-CN"/>
              </w:rPr>
              <w:t>%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的</w:t>
            </w:r>
            <w:r>
              <w:rPr>
                <w:rFonts w:ascii="Times New Roman" w:eastAsia="仿宋" w:hAnsi="Times New Roman" w:hint="eastAsia"/>
                <w:spacing w:val="-2"/>
                <w:sz w:val="24"/>
                <w:szCs w:val="28"/>
                <w:lang w:eastAsia="zh-CN"/>
              </w:rPr>
              <w:t>，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当年上市公司质量得分扣</w:t>
            </w:r>
            <w:r>
              <w:rPr>
                <w:rFonts w:ascii="Times New Roman" w:eastAsia="仿宋" w:hAnsi="Times New Roman" w:hint="eastAsia"/>
                <w:spacing w:val="-2"/>
                <w:sz w:val="24"/>
                <w:szCs w:val="28"/>
                <w:lang w:eastAsia="zh-CN"/>
              </w:rPr>
              <w:t>5</w:t>
            </w:r>
            <w:r>
              <w:rPr>
                <w:rFonts w:ascii="Times New Roman" w:eastAsia="仿宋" w:hAnsi="Times New Roman" w:hint="eastAsia"/>
                <w:spacing w:val="-2"/>
                <w:sz w:val="24"/>
                <w:szCs w:val="28"/>
                <w:lang w:eastAsia="zh-CN"/>
              </w:rPr>
              <w:t>分。</w:t>
            </w:r>
          </w:p>
        </w:tc>
      </w:tr>
      <w:tr w:rsidR="009A7EF0" w14:paraId="1695E8A5" w14:textId="77777777">
        <w:trPr>
          <w:jc w:val="center"/>
        </w:trPr>
        <w:tc>
          <w:tcPr>
            <w:tcW w:w="1018" w:type="dxa"/>
            <w:vMerge/>
            <w:vAlign w:val="center"/>
          </w:tcPr>
          <w:p w14:paraId="208BF56F" w14:textId="77777777" w:rsidR="009A7EF0" w:rsidRDefault="009A7EF0">
            <w:pPr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  <w:lang w:eastAsia="zh-CN"/>
              </w:rPr>
            </w:pPr>
          </w:p>
        </w:tc>
        <w:tc>
          <w:tcPr>
            <w:tcW w:w="1168" w:type="dxa"/>
            <w:vMerge/>
            <w:vAlign w:val="center"/>
          </w:tcPr>
          <w:p w14:paraId="34535A66" w14:textId="77777777" w:rsidR="009A7EF0" w:rsidRDefault="009A7EF0">
            <w:pPr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  <w:lang w:eastAsia="zh-CN"/>
              </w:rPr>
            </w:pPr>
          </w:p>
        </w:tc>
        <w:tc>
          <w:tcPr>
            <w:tcW w:w="2046" w:type="dxa"/>
            <w:vMerge/>
            <w:vAlign w:val="center"/>
          </w:tcPr>
          <w:p w14:paraId="7CBFC1EF" w14:textId="77777777" w:rsidR="009A7EF0" w:rsidRDefault="009A7EF0">
            <w:pPr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  <w:lang w:eastAsia="zh-CN"/>
              </w:rPr>
            </w:pPr>
          </w:p>
        </w:tc>
        <w:tc>
          <w:tcPr>
            <w:tcW w:w="3719" w:type="dxa"/>
            <w:vAlign w:val="center"/>
          </w:tcPr>
          <w:p w14:paraId="637FE795" w14:textId="77777777" w:rsidR="009A7EF0" w:rsidRDefault="0000000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  <w:lang w:eastAsia="zh-CN"/>
              </w:rPr>
            </w:pPr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经营活动净</w:t>
            </w:r>
            <w:proofErr w:type="gramStart"/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现金流占营业</w:t>
            </w:r>
            <w:proofErr w:type="gramEnd"/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收入比重（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+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）（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5%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3191" w:type="dxa"/>
            <w:vMerge/>
            <w:vAlign w:val="center"/>
          </w:tcPr>
          <w:p w14:paraId="3CE41F6A" w14:textId="77777777" w:rsidR="009A7EF0" w:rsidRDefault="009A7EF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  <w:lang w:eastAsia="zh-CN"/>
              </w:rPr>
            </w:pPr>
          </w:p>
        </w:tc>
      </w:tr>
      <w:tr w:rsidR="009A7EF0" w14:paraId="279ED924" w14:textId="77777777">
        <w:trPr>
          <w:jc w:val="center"/>
        </w:trPr>
        <w:tc>
          <w:tcPr>
            <w:tcW w:w="1018" w:type="dxa"/>
            <w:vMerge/>
            <w:vAlign w:val="center"/>
          </w:tcPr>
          <w:p w14:paraId="100AD231" w14:textId="77777777" w:rsidR="009A7EF0" w:rsidRDefault="009A7EF0">
            <w:pPr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  <w:lang w:eastAsia="zh-CN"/>
              </w:rPr>
            </w:pPr>
          </w:p>
        </w:tc>
        <w:tc>
          <w:tcPr>
            <w:tcW w:w="1168" w:type="dxa"/>
            <w:vMerge/>
            <w:vAlign w:val="center"/>
          </w:tcPr>
          <w:p w14:paraId="0A2E69E3" w14:textId="77777777" w:rsidR="009A7EF0" w:rsidRDefault="009A7EF0">
            <w:pPr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  <w:lang w:eastAsia="zh-CN"/>
              </w:rPr>
            </w:pPr>
          </w:p>
        </w:tc>
        <w:tc>
          <w:tcPr>
            <w:tcW w:w="2046" w:type="dxa"/>
            <w:vMerge/>
            <w:vAlign w:val="center"/>
          </w:tcPr>
          <w:p w14:paraId="31A0D2E7" w14:textId="77777777" w:rsidR="009A7EF0" w:rsidRDefault="009A7EF0">
            <w:pPr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  <w:lang w:eastAsia="zh-CN"/>
              </w:rPr>
            </w:pPr>
          </w:p>
        </w:tc>
        <w:tc>
          <w:tcPr>
            <w:tcW w:w="3719" w:type="dxa"/>
            <w:vAlign w:val="center"/>
          </w:tcPr>
          <w:p w14:paraId="01C7AC8E" w14:textId="77777777" w:rsidR="009A7EF0" w:rsidRDefault="0000000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仿宋" w:hAnsi="Times New Roman"/>
                <w:spacing w:val="-2"/>
                <w:sz w:val="24"/>
                <w:szCs w:val="28"/>
              </w:rPr>
              <w:t>销售净利率</w:t>
            </w:r>
            <w:proofErr w:type="spellEnd"/>
            <w:r>
              <w:rPr>
                <w:rFonts w:ascii="Times New Roman" w:eastAsia="仿宋" w:hAnsi="Times New Roman"/>
                <w:spacing w:val="-2"/>
                <w:sz w:val="24"/>
                <w:szCs w:val="28"/>
              </w:rPr>
              <w:t>（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</w:rPr>
              <w:t>+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</w:rPr>
              <w:t>）（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</w:rPr>
              <w:t>5%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</w:rPr>
              <w:t>）</w:t>
            </w:r>
          </w:p>
        </w:tc>
        <w:tc>
          <w:tcPr>
            <w:tcW w:w="3191" w:type="dxa"/>
            <w:vMerge/>
            <w:vAlign w:val="center"/>
          </w:tcPr>
          <w:p w14:paraId="643385BF" w14:textId="77777777" w:rsidR="009A7EF0" w:rsidRDefault="009A7EF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</w:p>
        </w:tc>
      </w:tr>
      <w:tr w:rsidR="009A7EF0" w14:paraId="331656B5" w14:textId="77777777">
        <w:trPr>
          <w:jc w:val="center"/>
        </w:trPr>
        <w:tc>
          <w:tcPr>
            <w:tcW w:w="1018" w:type="dxa"/>
            <w:vMerge/>
            <w:vAlign w:val="center"/>
          </w:tcPr>
          <w:p w14:paraId="13FD0203" w14:textId="77777777" w:rsidR="009A7EF0" w:rsidRDefault="009A7EF0">
            <w:pPr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</w:p>
        </w:tc>
        <w:tc>
          <w:tcPr>
            <w:tcW w:w="1168" w:type="dxa"/>
            <w:vMerge/>
            <w:vAlign w:val="center"/>
          </w:tcPr>
          <w:p w14:paraId="6C42EEF3" w14:textId="77777777" w:rsidR="009A7EF0" w:rsidRDefault="009A7EF0">
            <w:pPr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</w:p>
        </w:tc>
        <w:tc>
          <w:tcPr>
            <w:tcW w:w="2046" w:type="dxa"/>
            <w:vMerge/>
            <w:vAlign w:val="center"/>
          </w:tcPr>
          <w:p w14:paraId="5ED5D384" w14:textId="77777777" w:rsidR="009A7EF0" w:rsidRDefault="009A7EF0">
            <w:pPr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</w:p>
        </w:tc>
        <w:tc>
          <w:tcPr>
            <w:tcW w:w="3719" w:type="dxa"/>
            <w:vAlign w:val="center"/>
          </w:tcPr>
          <w:p w14:paraId="4C2056E1" w14:textId="77777777" w:rsidR="009A7EF0" w:rsidRDefault="0000000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  <w:lang w:eastAsia="zh-CN"/>
              </w:rPr>
            </w:pPr>
            <w:r>
              <w:rPr>
                <w:rFonts w:ascii="Times New Roman" w:eastAsia="仿宋" w:hAnsi="Times New Roman"/>
                <w:spacing w:val="-10"/>
                <w:sz w:val="24"/>
                <w:szCs w:val="28"/>
                <w:lang w:eastAsia="zh-CN"/>
              </w:rPr>
              <w:t>净资产收益率（</w:t>
            </w:r>
            <w:r>
              <w:rPr>
                <w:rFonts w:ascii="Times New Roman" w:eastAsia="仿宋" w:hAnsi="Times New Roman"/>
                <w:spacing w:val="-10"/>
                <w:sz w:val="24"/>
                <w:szCs w:val="28"/>
                <w:lang w:eastAsia="zh-CN"/>
              </w:rPr>
              <w:t>+</w:t>
            </w:r>
            <w:r>
              <w:rPr>
                <w:rFonts w:ascii="Times New Roman" w:eastAsia="仿宋" w:hAnsi="Times New Roman"/>
                <w:spacing w:val="-10"/>
                <w:sz w:val="24"/>
                <w:szCs w:val="28"/>
                <w:lang w:eastAsia="zh-CN"/>
              </w:rPr>
              <w:t>）（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5%</w:t>
            </w:r>
            <w:r>
              <w:rPr>
                <w:rFonts w:ascii="Times New Roman" w:eastAsia="仿宋" w:hAnsi="Times New Roman"/>
                <w:spacing w:val="-10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3191" w:type="dxa"/>
            <w:vMerge/>
            <w:vAlign w:val="center"/>
          </w:tcPr>
          <w:p w14:paraId="0FB1CD1C" w14:textId="77777777" w:rsidR="009A7EF0" w:rsidRDefault="009A7EF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  <w:lang w:eastAsia="zh-CN"/>
              </w:rPr>
            </w:pPr>
          </w:p>
        </w:tc>
      </w:tr>
      <w:tr w:rsidR="009A7EF0" w14:paraId="56DBE649" w14:textId="77777777">
        <w:trPr>
          <w:jc w:val="center"/>
        </w:trPr>
        <w:tc>
          <w:tcPr>
            <w:tcW w:w="1018" w:type="dxa"/>
            <w:vMerge/>
            <w:vAlign w:val="center"/>
          </w:tcPr>
          <w:p w14:paraId="7B0925AF" w14:textId="77777777" w:rsidR="009A7EF0" w:rsidRDefault="009A7EF0">
            <w:pPr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  <w:lang w:eastAsia="zh-CN"/>
              </w:rPr>
            </w:pPr>
          </w:p>
        </w:tc>
        <w:tc>
          <w:tcPr>
            <w:tcW w:w="1168" w:type="dxa"/>
            <w:vMerge/>
            <w:vAlign w:val="center"/>
          </w:tcPr>
          <w:p w14:paraId="28F792CD" w14:textId="77777777" w:rsidR="009A7EF0" w:rsidRDefault="009A7EF0">
            <w:pPr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  <w:lang w:eastAsia="zh-CN"/>
              </w:rPr>
            </w:pPr>
          </w:p>
        </w:tc>
        <w:tc>
          <w:tcPr>
            <w:tcW w:w="2046" w:type="dxa"/>
            <w:vMerge w:val="restart"/>
            <w:vAlign w:val="center"/>
          </w:tcPr>
          <w:p w14:paraId="3CC78F6D" w14:textId="77777777" w:rsidR="009A7EF0" w:rsidRDefault="0000000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>
              <w:rPr>
                <w:rFonts w:ascii="Times New Roman" w:eastAsia="仿宋" w:hAnsi="Times New Roman"/>
                <w:spacing w:val="-2"/>
                <w:sz w:val="24"/>
                <w:szCs w:val="28"/>
              </w:rPr>
              <w:t>成长能力</w:t>
            </w:r>
            <w:r>
              <w:rPr>
                <w:rFonts w:ascii="Times New Roman" w:eastAsia="仿宋" w:hAnsi="Times New Roman"/>
                <w:spacing w:val="-4"/>
                <w:sz w:val="24"/>
                <w:szCs w:val="28"/>
              </w:rPr>
              <w:t>（</w:t>
            </w:r>
            <w:r>
              <w:rPr>
                <w:rFonts w:ascii="Times New Roman" w:eastAsia="仿宋" w:hAnsi="Times New Roman"/>
                <w:spacing w:val="-4"/>
                <w:sz w:val="24"/>
                <w:szCs w:val="28"/>
              </w:rPr>
              <w:t>15%</w:t>
            </w:r>
            <w:r>
              <w:rPr>
                <w:rFonts w:ascii="Times New Roman" w:eastAsia="仿宋" w:hAnsi="Times New Roman"/>
                <w:spacing w:val="-4"/>
                <w:sz w:val="24"/>
                <w:szCs w:val="28"/>
              </w:rPr>
              <w:t>）</w:t>
            </w:r>
          </w:p>
        </w:tc>
        <w:tc>
          <w:tcPr>
            <w:tcW w:w="3719" w:type="dxa"/>
            <w:vAlign w:val="center"/>
          </w:tcPr>
          <w:p w14:paraId="4ED610FA" w14:textId="77777777" w:rsidR="009A7EF0" w:rsidRDefault="0000000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  <w:lang w:eastAsia="zh-CN"/>
              </w:rPr>
            </w:pPr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营业收入增速（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+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）（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7.5%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3191" w:type="dxa"/>
            <w:vMerge/>
            <w:vAlign w:val="center"/>
          </w:tcPr>
          <w:p w14:paraId="0556327F" w14:textId="77777777" w:rsidR="009A7EF0" w:rsidRDefault="009A7EF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  <w:lang w:eastAsia="zh-CN"/>
              </w:rPr>
            </w:pPr>
          </w:p>
        </w:tc>
      </w:tr>
      <w:tr w:rsidR="009A7EF0" w14:paraId="0C27C60C" w14:textId="77777777">
        <w:trPr>
          <w:jc w:val="center"/>
        </w:trPr>
        <w:tc>
          <w:tcPr>
            <w:tcW w:w="1018" w:type="dxa"/>
            <w:vMerge/>
            <w:vAlign w:val="center"/>
          </w:tcPr>
          <w:p w14:paraId="4D1E688B" w14:textId="77777777" w:rsidR="009A7EF0" w:rsidRDefault="009A7EF0">
            <w:pPr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  <w:lang w:eastAsia="zh-CN"/>
              </w:rPr>
            </w:pPr>
          </w:p>
        </w:tc>
        <w:tc>
          <w:tcPr>
            <w:tcW w:w="1168" w:type="dxa"/>
            <w:vMerge/>
            <w:vAlign w:val="center"/>
          </w:tcPr>
          <w:p w14:paraId="229D7729" w14:textId="77777777" w:rsidR="009A7EF0" w:rsidRDefault="009A7EF0">
            <w:pPr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  <w:lang w:eastAsia="zh-CN"/>
              </w:rPr>
            </w:pPr>
          </w:p>
        </w:tc>
        <w:tc>
          <w:tcPr>
            <w:tcW w:w="2046" w:type="dxa"/>
            <w:vMerge/>
            <w:vAlign w:val="center"/>
          </w:tcPr>
          <w:p w14:paraId="0DF1317F" w14:textId="77777777" w:rsidR="009A7EF0" w:rsidRDefault="009A7EF0">
            <w:pPr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  <w:lang w:eastAsia="zh-CN"/>
              </w:rPr>
            </w:pPr>
          </w:p>
        </w:tc>
        <w:tc>
          <w:tcPr>
            <w:tcW w:w="3719" w:type="dxa"/>
            <w:vAlign w:val="center"/>
          </w:tcPr>
          <w:p w14:paraId="79048131" w14:textId="77777777" w:rsidR="009A7EF0" w:rsidRDefault="0000000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  <w:lang w:eastAsia="zh-CN"/>
              </w:rPr>
            </w:pPr>
            <w:proofErr w:type="gramStart"/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扣非归母净</w:t>
            </w:r>
            <w:proofErr w:type="gramEnd"/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利润增速</w:t>
            </w:r>
            <w:r>
              <w:rPr>
                <w:rFonts w:ascii="Times New Roman" w:eastAsia="仿宋" w:hAnsi="Times New Roman"/>
                <w:spacing w:val="-5"/>
                <w:sz w:val="24"/>
                <w:szCs w:val="28"/>
                <w:lang w:eastAsia="zh-CN"/>
              </w:rPr>
              <w:t>（</w:t>
            </w:r>
            <w:r>
              <w:rPr>
                <w:rFonts w:ascii="Times New Roman" w:eastAsia="仿宋" w:hAnsi="Times New Roman"/>
                <w:spacing w:val="-5"/>
                <w:sz w:val="24"/>
                <w:szCs w:val="28"/>
                <w:lang w:eastAsia="zh-CN"/>
              </w:rPr>
              <w:t>+</w:t>
            </w:r>
            <w:r>
              <w:rPr>
                <w:rFonts w:ascii="Times New Roman" w:eastAsia="仿宋" w:hAnsi="Times New Roman"/>
                <w:spacing w:val="-5"/>
                <w:sz w:val="24"/>
                <w:szCs w:val="28"/>
                <w:lang w:eastAsia="zh-CN"/>
              </w:rPr>
              <w:t>）</w:t>
            </w:r>
            <w:r>
              <w:rPr>
                <w:rFonts w:ascii="Times New Roman" w:eastAsia="仿宋" w:hAnsi="Times New Roman"/>
                <w:spacing w:val="-4"/>
                <w:sz w:val="24"/>
                <w:szCs w:val="28"/>
                <w:lang w:eastAsia="zh-CN"/>
              </w:rPr>
              <w:t>（</w:t>
            </w:r>
            <w:r>
              <w:rPr>
                <w:rFonts w:ascii="Times New Roman" w:eastAsia="仿宋" w:hAnsi="Times New Roman"/>
                <w:spacing w:val="-4"/>
                <w:sz w:val="24"/>
                <w:szCs w:val="28"/>
                <w:lang w:eastAsia="zh-CN"/>
              </w:rPr>
              <w:t>7.5%</w:t>
            </w:r>
            <w:r>
              <w:rPr>
                <w:rFonts w:ascii="Times New Roman" w:eastAsia="仿宋" w:hAnsi="Times New Roman"/>
                <w:spacing w:val="-4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3191" w:type="dxa"/>
            <w:vMerge/>
            <w:vAlign w:val="center"/>
          </w:tcPr>
          <w:p w14:paraId="3CDD2D83" w14:textId="77777777" w:rsidR="009A7EF0" w:rsidRDefault="009A7EF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  <w:lang w:eastAsia="zh-CN"/>
              </w:rPr>
            </w:pPr>
          </w:p>
        </w:tc>
      </w:tr>
      <w:tr w:rsidR="009A7EF0" w14:paraId="71325988" w14:textId="77777777">
        <w:trPr>
          <w:jc w:val="center"/>
        </w:trPr>
        <w:tc>
          <w:tcPr>
            <w:tcW w:w="1018" w:type="dxa"/>
            <w:vMerge/>
            <w:vAlign w:val="center"/>
          </w:tcPr>
          <w:p w14:paraId="6CE56A76" w14:textId="77777777" w:rsidR="009A7EF0" w:rsidRDefault="009A7EF0">
            <w:pPr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  <w:lang w:eastAsia="zh-CN"/>
              </w:rPr>
            </w:pPr>
          </w:p>
        </w:tc>
        <w:tc>
          <w:tcPr>
            <w:tcW w:w="1168" w:type="dxa"/>
            <w:vMerge/>
            <w:vAlign w:val="center"/>
          </w:tcPr>
          <w:p w14:paraId="3832223C" w14:textId="77777777" w:rsidR="009A7EF0" w:rsidRDefault="009A7EF0">
            <w:pPr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  <w:lang w:eastAsia="zh-CN"/>
              </w:rPr>
            </w:pPr>
          </w:p>
        </w:tc>
        <w:tc>
          <w:tcPr>
            <w:tcW w:w="2046" w:type="dxa"/>
            <w:vMerge/>
            <w:vAlign w:val="center"/>
          </w:tcPr>
          <w:p w14:paraId="76582AE4" w14:textId="77777777" w:rsidR="009A7EF0" w:rsidRDefault="009A7EF0">
            <w:pPr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  <w:lang w:eastAsia="zh-CN"/>
              </w:rPr>
            </w:pPr>
          </w:p>
        </w:tc>
        <w:tc>
          <w:tcPr>
            <w:tcW w:w="3719" w:type="dxa"/>
            <w:vAlign w:val="center"/>
          </w:tcPr>
          <w:p w14:paraId="2F725787" w14:textId="77777777" w:rsidR="009A7EF0" w:rsidRDefault="0000000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pacing w:val="-2"/>
                <w:sz w:val="24"/>
                <w:szCs w:val="28"/>
              </w:rPr>
            </w:pPr>
            <w:proofErr w:type="spellStart"/>
            <w:r>
              <w:rPr>
                <w:rFonts w:ascii="Times New Roman" w:eastAsia="仿宋" w:hAnsi="Times New Roman"/>
                <w:spacing w:val="-2"/>
                <w:sz w:val="24"/>
                <w:szCs w:val="28"/>
              </w:rPr>
              <w:t>业绩下滑调整</w:t>
            </w:r>
            <w:proofErr w:type="spellEnd"/>
            <w:r>
              <w:rPr>
                <w:rFonts w:ascii="Times New Roman" w:eastAsia="仿宋" w:hAnsi="Times New Roman" w:hint="eastAsia"/>
                <w:spacing w:val="-2"/>
                <w:sz w:val="24"/>
                <w:szCs w:val="28"/>
              </w:rPr>
              <w:t>（</w:t>
            </w:r>
            <w:r>
              <w:rPr>
                <w:rFonts w:ascii="Times New Roman" w:eastAsia="仿宋" w:hAnsi="Times New Roman" w:hint="eastAsia"/>
                <w:spacing w:val="-2"/>
                <w:sz w:val="24"/>
                <w:szCs w:val="28"/>
              </w:rPr>
              <w:t>-</w:t>
            </w:r>
            <w:r>
              <w:rPr>
                <w:rFonts w:ascii="Times New Roman" w:eastAsia="仿宋" w:hAnsi="Times New Roman" w:hint="eastAsia"/>
                <w:spacing w:val="-2"/>
                <w:sz w:val="24"/>
                <w:szCs w:val="28"/>
              </w:rPr>
              <w:t>）</w:t>
            </w:r>
          </w:p>
        </w:tc>
        <w:tc>
          <w:tcPr>
            <w:tcW w:w="3191" w:type="dxa"/>
            <w:vMerge/>
            <w:vAlign w:val="center"/>
          </w:tcPr>
          <w:p w14:paraId="5094A2B2" w14:textId="77777777" w:rsidR="009A7EF0" w:rsidRDefault="009A7EF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</w:p>
        </w:tc>
      </w:tr>
      <w:tr w:rsidR="009A7EF0" w14:paraId="67434DD8" w14:textId="77777777">
        <w:trPr>
          <w:jc w:val="center"/>
        </w:trPr>
        <w:tc>
          <w:tcPr>
            <w:tcW w:w="1018" w:type="dxa"/>
            <w:vMerge/>
            <w:vAlign w:val="center"/>
          </w:tcPr>
          <w:p w14:paraId="33A1B290" w14:textId="77777777" w:rsidR="009A7EF0" w:rsidRDefault="009A7EF0">
            <w:pPr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</w:p>
        </w:tc>
        <w:tc>
          <w:tcPr>
            <w:tcW w:w="1168" w:type="dxa"/>
            <w:vMerge/>
            <w:vAlign w:val="center"/>
          </w:tcPr>
          <w:p w14:paraId="5D4C1767" w14:textId="77777777" w:rsidR="009A7EF0" w:rsidRDefault="009A7EF0">
            <w:pPr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</w:p>
        </w:tc>
        <w:tc>
          <w:tcPr>
            <w:tcW w:w="2046" w:type="dxa"/>
            <w:vMerge w:val="restart"/>
            <w:vAlign w:val="center"/>
          </w:tcPr>
          <w:p w14:paraId="4B2AA322" w14:textId="77777777" w:rsidR="009A7EF0" w:rsidRDefault="0000000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>
              <w:rPr>
                <w:rFonts w:ascii="Times New Roman" w:eastAsia="仿宋" w:hAnsi="Times New Roman"/>
                <w:spacing w:val="-2"/>
                <w:sz w:val="24"/>
                <w:szCs w:val="28"/>
              </w:rPr>
              <w:t>创新能力</w:t>
            </w:r>
            <w:r>
              <w:rPr>
                <w:rFonts w:ascii="Times New Roman" w:eastAsia="仿宋" w:hAnsi="Times New Roman"/>
                <w:spacing w:val="-4"/>
                <w:sz w:val="24"/>
                <w:szCs w:val="28"/>
              </w:rPr>
              <w:t>（</w:t>
            </w:r>
            <w:r>
              <w:rPr>
                <w:rFonts w:ascii="Times New Roman" w:eastAsia="仿宋" w:hAnsi="Times New Roman"/>
                <w:spacing w:val="-4"/>
                <w:sz w:val="24"/>
                <w:szCs w:val="28"/>
              </w:rPr>
              <w:t>15%</w:t>
            </w:r>
            <w:r>
              <w:rPr>
                <w:rFonts w:ascii="Times New Roman" w:eastAsia="仿宋" w:hAnsi="Times New Roman"/>
                <w:spacing w:val="-4"/>
                <w:sz w:val="24"/>
                <w:szCs w:val="28"/>
              </w:rPr>
              <w:t>）</w:t>
            </w:r>
          </w:p>
        </w:tc>
        <w:tc>
          <w:tcPr>
            <w:tcW w:w="3719" w:type="dxa"/>
            <w:vAlign w:val="center"/>
          </w:tcPr>
          <w:p w14:paraId="3DC12B97" w14:textId="77777777" w:rsidR="009A7EF0" w:rsidRDefault="0000000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  <w:lang w:eastAsia="zh-CN"/>
              </w:rPr>
            </w:pPr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研发支出占比（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+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）（</w:t>
            </w:r>
            <w:r>
              <w:rPr>
                <w:rFonts w:ascii="Times New Roman" w:eastAsia="仿宋" w:hAnsi="Times New Roman" w:hint="eastAsia"/>
                <w:spacing w:val="-2"/>
                <w:sz w:val="24"/>
                <w:szCs w:val="28"/>
                <w:lang w:eastAsia="zh-CN"/>
              </w:rPr>
              <w:t>7.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5%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3191" w:type="dxa"/>
            <w:vMerge/>
            <w:vAlign w:val="center"/>
          </w:tcPr>
          <w:p w14:paraId="36B20A56" w14:textId="77777777" w:rsidR="009A7EF0" w:rsidRDefault="009A7EF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  <w:lang w:eastAsia="zh-CN"/>
              </w:rPr>
            </w:pPr>
          </w:p>
        </w:tc>
      </w:tr>
      <w:tr w:rsidR="009A7EF0" w14:paraId="687991B3" w14:textId="77777777">
        <w:trPr>
          <w:jc w:val="center"/>
        </w:trPr>
        <w:tc>
          <w:tcPr>
            <w:tcW w:w="1018" w:type="dxa"/>
            <w:vMerge/>
            <w:vAlign w:val="center"/>
          </w:tcPr>
          <w:p w14:paraId="1C0E580C" w14:textId="77777777" w:rsidR="009A7EF0" w:rsidRDefault="009A7EF0">
            <w:pPr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  <w:lang w:eastAsia="zh-CN"/>
              </w:rPr>
            </w:pPr>
          </w:p>
        </w:tc>
        <w:tc>
          <w:tcPr>
            <w:tcW w:w="1168" w:type="dxa"/>
            <w:vMerge/>
            <w:vAlign w:val="center"/>
          </w:tcPr>
          <w:p w14:paraId="6D549282" w14:textId="77777777" w:rsidR="009A7EF0" w:rsidRDefault="009A7EF0">
            <w:pPr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  <w:lang w:eastAsia="zh-CN"/>
              </w:rPr>
            </w:pPr>
          </w:p>
        </w:tc>
        <w:tc>
          <w:tcPr>
            <w:tcW w:w="2046" w:type="dxa"/>
            <w:vMerge/>
            <w:vAlign w:val="center"/>
          </w:tcPr>
          <w:p w14:paraId="6085705F" w14:textId="77777777" w:rsidR="009A7EF0" w:rsidRDefault="009A7EF0">
            <w:pPr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  <w:lang w:eastAsia="zh-CN"/>
              </w:rPr>
            </w:pPr>
          </w:p>
        </w:tc>
        <w:tc>
          <w:tcPr>
            <w:tcW w:w="3719" w:type="dxa"/>
            <w:vAlign w:val="center"/>
          </w:tcPr>
          <w:p w14:paraId="7A34E31F" w14:textId="77777777" w:rsidR="009A7EF0" w:rsidRDefault="0000000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  <w:lang w:eastAsia="zh-CN"/>
              </w:rPr>
            </w:pPr>
            <w:r>
              <w:rPr>
                <w:rFonts w:ascii="Times New Roman" w:eastAsia="仿宋" w:hAnsi="Times New Roman" w:hint="eastAsia"/>
                <w:spacing w:val="-2"/>
                <w:sz w:val="24"/>
                <w:szCs w:val="28"/>
                <w:lang w:eastAsia="zh-CN"/>
              </w:rPr>
              <w:t>研发人员占比（</w:t>
            </w:r>
            <w:r>
              <w:rPr>
                <w:rFonts w:ascii="Times New Roman" w:eastAsia="仿宋" w:hAnsi="Times New Roman" w:hint="eastAsia"/>
                <w:spacing w:val="-2"/>
                <w:sz w:val="24"/>
                <w:szCs w:val="28"/>
                <w:lang w:eastAsia="zh-CN"/>
              </w:rPr>
              <w:t>+</w:t>
            </w:r>
            <w:r>
              <w:rPr>
                <w:rFonts w:ascii="Times New Roman" w:eastAsia="仿宋" w:hAnsi="Times New Roman" w:hint="eastAsia"/>
                <w:spacing w:val="-2"/>
                <w:sz w:val="24"/>
                <w:szCs w:val="28"/>
                <w:lang w:eastAsia="zh-CN"/>
              </w:rPr>
              <w:t>）（</w:t>
            </w:r>
            <w:r>
              <w:rPr>
                <w:rFonts w:ascii="Times New Roman" w:eastAsia="仿宋" w:hAnsi="Times New Roman" w:hint="eastAsia"/>
                <w:spacing w:val="-2"/>
                <w:sz w:val="24"/>
                <w:szCs w:val="28"/>
                <w:lang w:eastAsia="zh-CN"/>
              </w:rPr>
              <w:t>7.5%</w:t>
            </w:r>
            <w:r>
              <w:rPr>
                <w:rFonts w:ascii="Times New Roman" w:eastAsia="仿宋" w:hAnsi="Times New Roman" w:hint="eastAsia"/>
                <w:spacing w:val="-2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3191" w:type="dxa"/>
            <w:vMerge/>
            <w:vAlign w:val="center"/>
          </w:tcPr>
          <w:p w14:paraId="59FA0AB4" w14:textId="77777777" w:rsidR="009A7EF0" w:rsidRDefault="009A7EF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  <w:lang w:eastAsia="zh-CN"/>
              </w:rPr>
            </w:pPr>
          </w:p>
        </w:tc>
      </w:tr>
      <w:tr w:rsidR="009A7EF0" w14:paraId="2D63A5DA" w14:textId="77777777">
        <w:trPr>
          <w:trHeight w:val="653"/>
          <w:jc w:val="center"/>
        </w:trPr>
        <w:tc>
          <w:tcPr>
            <w:tcW w:w="1018" w:type="dxa"/>
            <w:vMerge/>
            <w:vAlign w:val="center"/>
          </w:tcPr>
          <w:p w14:paraId="1AD778F7" w14:textId="77777777" w:rsidR="009A7EF0" w:rsidRDefault="009A7EF0">
            <w:pPr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  <w:lang w:eastAsia="zh-CN"/>
              </w:rPr>
            </w:pPr>
          </w:p>
        </w:tc>
        <w:tc>
          <w:tcPr>
            <w:tcW w:w="1168" w:type="dxa"/>
            <w:vMerge w:val="restart"/>
            <w:vAlign w:val="center"/>
          </w:tcPr>
          <w:p w14:paraId="574855A6" w14:textId="77777777" w:rsidR="009A7EF0" w:rsidRDefault="0000000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pacing w:val="-4"/>
                <w:sz w:val="24"/>
                <w:szCs w:val="28"/>
              </w:rPr>
            </w:pPr>
            <w:r>
              <w:rPr>
                <w:rFonts w:ascii="Times New Roman" w:eastAsia="仿宋" w:hAnsi="Times New Roman"/>
                <w:spacing w:val="-4"/>
                <w:sz w:val="24"/>
                <w:szCs w:val="28"/>
              </w:rPr>
              <w:t>市场表现评价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</w:rPr>
              <w:t>（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</w:rPr>
              <w:t>20%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</w:rPr>
              <w:t>）</w:t>
            </w:r>
          </w:p>
        </w:tc>
        <w:tc>
          <w:tcPr>
            <w:tcW w:w="2046" w:type="dxa"/>
            <w:vAlign w:val="center"/>
          </w:tcPr>
          <w:p w14:paraId="0D0AAACF" w14:textId="77777777" w:rsidR="009A7EF0" w:rsidRDefault="0000000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>
              <w:rPr>
                <w:rFonts w:ascii="Times New Roman" w:eastAsia="仿宋" w:hAnsi="Times New Roman"/>
                <w:spacing w:val="-19"/>
                <w:sz w:val="24"/>
                <w:szCs w:val="28"/>
              </w:rPr>
              <w:t>投资者回报</w:t>
            </w:r>
            <w:r>
              <w:rPr>
                <w:rFonts w:ascii="Times New Roman" w:eastAsia="仿宋" w:hAnsi="Times New Roman"/>
                <w:spacing w:val="-4"/>
                <w:sz w:val="24"/>
                <w:szCs w:val="28"/>
              </w:rPr>
              <w:t>（</w:t>
            </w:r>
            <w:r>
              <w:rPr>
                <w:rFonts w:ascii="Times New Roman" w:eastAsia="仿宋" w:hAnsi="Times New Roman"/>
                <w:spacing w:val="-4"/>
                <w:sz w:val="24"/>
                <w:szCs w:val="28"/>
              </w:rPr>
              <w:t>10%</w:t>
            </w:r>
            <w:r>
              <w:rPr>
                <w:rFonts w:ascii="Times New Roman" w:eastAsia="仿宋" w:hAnsi="Times New Roman"/>
                <w:spacing w:val="-4"/>
                <w:sz w:val="24"/>
                <w:szCs w:val="28"/>
              </w:rPr>
              <w:t>）</w:t>
            </w:r>
          </w:p>
        </w:tc>
        <w:tc>
          <w:tcPr>
            <w:tcW w:w="3719" w:type="dxa"/>
            <w:vAlign w:val="center"/>
          </w:tcPr>
          <w:p w14:paraId="6D477115" w14:textId="77777777" w:rsidR="009A7EF0" w:rsidRDefault="0000000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仿宋" w:hAnsi="Times New Roman"/>
                <w:spacing w:val="-2"/>
                <w:sz w:val="24"/>
                <w:szCs w:val="28"/>
              </w:rPr>
              <w:t>年化回报率</w:t>
            </w:r>
            <w:proofErr w:type="spellEnd"/>
            <w:r>
              <w:rPr>
                <w:rFonts w:ascii="Times New Roman" w:eastAsia="仿宋" w:hAnsi="Times New Roman"/>
                <w:spacing w:val="-2"/>
                <w:sz w:val="24"/>
                <w:szCs w:val="28"/>
              </w:rPr>
              <w:t>（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</w:rPr>
              <w:t>+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</w:rPr>
              <w:t>）（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</w:rPr>
              <w:t>10%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</w:rPr>
              <w:t>）</w:t>
            </w:r>
          </w:p>
        </w:tc>
        <w:tc>
          <w:tcPr>
            <w:tcW w:w="3191" w:type="dxa"/>
            <w:vMerge/>
            <w:vAlign w:val="center"/>
          </w:tcPr>
          <w:p w14:paraId="68CA2112" w14:textId="77777777" w:rsidR="009A7EF0" w:rsidRDefault="009A7EF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</w:p>
        </w:tc>
      </w:tr>
      <w:tr w:rsidR="009A7EF0" w14:paraId="585C7D69" w14:textId="77777777">
        <w:trPr>
          <w:trHeight w:val="564"/>
          <w:jc w:val="center"/>
        </w:trPr>
        <w:tc>
          <w:tcPr>
            <w:tcW w:w="1018" w:type="dxa"/>
            <w:vMerge/>
            <w:vAlign w:val="center"/>
          </w:tcPr>
          <w:p w14:paraId="62DE6EC4" w14:textId="77777777" w:rsidR="009A7EF0" w:rsidRDefault="009A7EF0">
            <w:pPr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</w:p>
        </w:tc>
        <w:tc>
          <w:tcPr>
            <w:tcW w:w="1168" w:type="dxa"/>
            <w:vMerge/>
            <w:vAlign w:val="center"/>
          </w:tcPr>
          <w:p w14:paraId="0A4C357D" w14:textId="77777777" w:rsidR="009A7EF0" w:rsidRDefault="009A7EF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</w:p>
        </w:tc>
        <w:tc>
          <w:tcPr>
            <w:tcW w:w="2046" w:type="dxa"/>
            <w:vMerge w:val="restart"/>
            <w:vAlign w:val="center"/>
          </w:tcPr>
          <w:p w14:paraId="28ACBF8C" w14:textId="77777777" w:rsidR="009A7EF0" w:rsidRDefault="0000000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pacing w:val="-2"/>
                <w:sz w:val="24"/>
                <w:szCs w:val="28"/>
              </w:rPr>
            </w:pPr>
            <w:r>
              <w:rPr>
                <w:rFonts w:ascii="Times New Roman" w:eastAsia="仿宋" w:hAnsi="Times New Roman"/>
                <w:spacing w:val="-2"/>
                <w:sz w:val="24"/>
                <w:szCs w:val="28"/>
              </w:rPr>
              <w:t>市场估值</w:t>
            </w:r>
            <w:r>
              <w:rPr>
                <w:rFonts w:ascii="Times New Roman" w:eastAsia="仿宋" w:hAnsi="Times New Roman"/>
                <w:spacing w:val="-4"/>
                <w:sz w:val="24"/>
                <w:szCs w:val="28"/>
              </w:rPr>
              <w:t>（</w:t>
            </w:r>
            <w:r>
              <w:rPr>
                <w:rFonts w:ascii="Times New Roman" w:eastAsia="仿宋" w:hAnsi="Times New Roman"/>
                <w:spacing w:val="-4"/>
                <w:sz w:val="24"/>
                <w:szCs w:val="28"/>
              </w:rPr>
              <w:t>10%</w:t>
            </w:r>
            <w:r>
              <w:rPr>
                <w:rFonts w:ascii="Times New Roman" w:eastAsia="仿宋" w:hAnsi="Times New Roman"/>
                <w:spacing w:val="-4"/>
                <w:sz w:val="24"/>
                <w:szCs w:val="28"/>
              </w:rPr>
              <w:t>）</w:t>
            </w:r>
          </w:p>
        </w:tc>
        <w:tc>
          <w:tcPr>
            <w:tcW w:w="3719" w:type="dxa"/>
            <w:vAlign w:val="center"/>
          </w:tcPr>
          <w:p w14:paraId="063D2E1D" w14:textId="77777777" w:rsidR="009A7EF0" w:rsidRDefault="0000000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pacing w:val="-4"/>
                <w:sz w:val="24"/>
                <w:szCs w:val="28"/>
              </w:rPr>
            </w:pPr>
            <w:proofErr w:type="spellStart"/>
            <w:r>
              <w:rPr>
                <w:rFonts w:ascii="Times New Roman" w:eastAsia="仿宋" w:hAnsi="Times New Roman"/>
                <w:spacing w:val="-4"/>
                <w:sz w:val="24"/>
                <w:szCs w:val="28"/>
              </w:rPr>
              <w:t>总市值</w:t>
            </w:r>
            <w:proofErr w:type="spellEnd"/>
            <w:r>
              <w:rPr>
                <w:rFonts w:ascii="Times New Roman" w:eastAsia="仿宋" w:hAnsi="Times New Roman" w:hint="eastAsia"/>
                <w:spacing w:val="-4"/>
                <w:sz w:val="24"/>
                <w:szCs w:val="28"/>
              </w:rPr>
              <w:t>（</w:t>
            </w:r>
            <w:r>
              <w:rPr>
                <w:rFonts w:ascii="Times New Roman" w:eastAsia="仿宋" w:hAnsi="Times New Roman" w:hint="eastAsia"/>
                <w:spacing w:val="-4"/>
                <w:sz w:val="24"/>
                <w:szCs w:val="28"/>
              </w:rPr>
              <w:t>+</w:t>
            </w:r>
            <w:r>
              <w:rPr>
                <w:rFonts w:ascii="Times New Roman" w:eastAsia="仿宋" w:hAnsi="Times New Roman" w:hint="eastAsia"/>
                <w:spacing w:val="-4"/>
                <w:sz w:val="24"/>
                <w:szCs w:val="28"/>
              </w:rPr>
              <w:t>）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</w:rPr>
              <w:t>（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</w:rPr>
              <w:t>3.33%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</w:rPr>
              <w:t>）</w:t>
            </w:r>
          </w:p>
        </w:tc>
        <w:tc>
          <w:tcPr>
            <w:tcW w:w="3191" w:type="dxa"/>
            <w:vMerge/>
            <w:vAlign w:val="center"/>
          </w:tcPr>
          <w:p w14:paraId="741EB040" w14:textId="77777777" w:rsidR="009A7EF0" w:rsidRDefault="009A7EF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</w:p>
        </w:tc>
      </w:tr>
      <w:tr w:rsidR="009A7EF0" w14:paraId="25B830C9" w14:textId="77777777">
        <w:trPr>
          <w:trHeight w:val="546"/>
          <w:jc w:val="center"/>
        </w:trPr>
        <w:tc>
          <w:tcPr>
            <w:tcW w:w="1018" w:type="dxa"/>
            <w:vMerge/>
            <w:vAlign w:val="center"/>
          </w:tcPr>
          <w:p w14:paraId="6F441037" w14:textId="77777777" w:rsidR="009A7EF0" w:rsidRDefault="009A7EF0">
            <w:pPr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</w:p>
        </w:tc>
        <w:tc>
          <w:tcPr>
            <w:tcW w:w="1168" w:type="dxa"/>
            <w:vMerge/>
            <w:vAlign w:val="center"/>
          </w:tcPr>
          <w:p w14:paraId="212EFD7A" w14:textId="77777777" w:rsidR="009A7EF0" w:rsidRDefault="009A7EF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</w:p>
        </w:tc>
        <w:tc>
          <w:tcPr>
            <w:tcW w:w="2046" w:type="dxa"/>
            <w:vMerge/>
            <w:vAlign w:val="center"/>
          </w:tcPr>
          <w:p w14:paraId="22BEEF96" w14:textId="77777777" w:rsidR="009A7EF0" w:rsidRDefault="009A7EF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</w:p>
        </w:tc>
        <w:tc>
          <w:tcPr>
            <w:tcW w:w="3719" w:type="dxa"/>
            <w:vAlign w:val="center"/>
          </w:tcPr>
          <w:p w14:paraId="11FA2529" w14:textId="77777777" w:rsidR="009A7EF0" w:rsidRDefault="0000000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  <w:lang w:eastAsia="zh-CN"/>
              </w:rPr>
            </w:pPr>
            <w:r>
              <w:rPr>
                <w:rFonts w:ascii="Times New Roman" w:eastAsia="仿宋" w:hAnsi="Times New Roman"/>
                <w:spacing w:val="-4"/>
                <w:sz w:val="24"/>
                <w:szCs w:val="28"/>
                <w:lang w:eastAsia="zh-CN"/>
              </w:rPr>
              <w:t>总市值增长率（</w:t>
            </w:r>
            <w:r>
              <w:rPr>
                <w:rFonts w:ascii="Times New Roman" w:eastAsia="仿宋" w:hAnsi="Times New Roman"/>
                <w:spacing w:val="-4"/>
                <w:sz w:val="24"/>
                <w:szCs w:val="28"/>
                <w:lang w:eastAsia="zh-CN"/>
              </w:rPr>
              <w:t>+</w:t>
            </w:r>
            <w:r>
              <w:rPr>
                <w:rFonts w:ascii="Times New Roman" w:eastAsia="仿宋" w:hAnsi="Times New Roman"/>
                <w:spacing w:val="-4"/>
                <w:sz w:val="24"/>
                <w:szCs w:val="28"/>
                <w:lang w:eastAsia="zh-CN"/>
              </w:rPr>
              <w:t>）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（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3.33%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3191" w:type="dxa"/>
            <w:vMerge/>
            <w:vAlign w:val="center"/>
          </w:tcPr>
          <w:p w14:paraId="44705D4D" w14:textId="77777777" w:rsidR="009A7EF0" w:rsidRDefault="009A7EF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  <w:lang w:eastAsia="zh-CN"/>
              </w:rPr>
            </w:pPr>
          </w:p>
        </w:tc>
      </w:tr>
      <w:tr w:rsidR="009A7EF0" w14:paraId="029430C0" w14:textId="77777777">
        <w:trPr>
          <w:trHeight w:val="730"/>
          <w:jc w:val="center"/>
        </w:trPr>
        <w:tc>
          <w:tcPr>
            <w:tcW w:w="1018" w:type="dxa"/>
            <w:vMerge/>
            <w:vAlign w:val="center"/>
          </w:tcPr>
          <w:p w14:paraId="26345262" w14:textId="77777777" w:rsidR="009A7EF0" w:rsidRDefault="009A7EF0">
            <w:pPr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  <w:lang w:eastAsia="zh-CN"/>
              </w:rPr>
            </w:pPr>
          </w:p>
        </w:tc>
        <w:tc>
          <w:tcPr>
            <w:tcW w:w="1168" w:type="dxa"/>
            <w:vMerge/>
            <w:vAlign w:val="center"/>
          </w:tcPr>
          <w:p w14:paraId="40493864" w14:textId="77777777" w:rsidR="009A7EF0" w:rsidRDefault="009A7EF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pacing w:val="-4"/>
                <w:sz w:val="24"/>
                <w:szCs w:val="28"/>
                <w:lang w:eastAsia="zh-CN"/>
              </w:rPr>
            </w:pPr>
          </w:p>
        </w:tc>
        <w:tc>
          <w:tcPr>
            <w:tcW w:w="2046" w:type="dxa"/>
            <w:vMerge/>
            <w:vAlign w:val="center"/>
          </w:tcPr>
          <w:p w14:paraId="54053669" w14:textId="77777777" w:rsidR="009A7EF0" w:rsidRDefault="009A7EF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</w:pPr>
          </w:p>
        </w:tc>
        <w:tc>
          <w:tcPr>
            <w:tcW w:w="3719" w:type="dxa"/>
            <w:vAlign w:val="center"/>
          </w:tcPr>
          <w:p w14:paraId="67052B11" w14:textId="77777777" w:rsidR="009A7EF0" w:rsidRDefault="0000000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pacing w:val="-4"/>
                <w:sz w:val="24"/>
                <w:szCs w:val="28"/>
                <w:lang w:eastAsia="zh-CN"/>
              </w:rPr>
            </w:pPr>
            <w:r>
              <w:rPr>
                <w:rFonts w:ascii="Times New Roman" w:eastAsia="仿宋" w:hAnsi="Times New Roman" w:hint="eastAsia"/>
                <w:spacing w:val="-2"/>
                <w:sz w:val="24"/>
                <w:szCs w:val="28"/>
                <w:lang w:eastAsia="zh-CN"/>
              </w:rPr>
              <w:t>纳入市场指数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情况</w:t>
            </w:r>
            <w:r>
              <w:rPr>
                <w:rFonts w:ascii="Times New Roman" w:eastAsia="仿宋" w:hAnsi="Times New Roman" w:hint="eastAsia"/>
                <w:spacing w:val="-2"/>
                <w:sz w:val="24"/>
                <w:szCs w:val="28"/>
                <w:lang w:eastAsia="zh-CN"/>
              </w:rPr>
              <w:t>（</w:t>
            </w:r>
            <w:r>
              <w:rPr>
                <w:rFonts w:ascii="Times New Roman" w:eastAsia="仿宋" w:hAnsi="Times New Roman" w:hint="eastAsia"/>
                <w:spacing w:val="-2"/>
                <w:sz w:val="24"/>
                <w:szCs w:val="28"/>
                <w:lang w:eastAsia="zh-CN"/>
              </w:rPr>
              <w:t>+</w:t>
            </w:r>
            <w:r>
              <w:rPr>
                <w:rFonts w:ascii="Times New Roman" w:eastAsia="仿宋" w:hAnsi="Times New Roman" w:hint="eastAsia"/>
                <w:spacing w:val="-2"/>
                <w:sz w:val="24"/>
                <w:szCs w:val="28"/>
                <w:lang w:eastAsia="zh-CN"/>
              </w:rPr>
              <w:t>）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（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3.33%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3191" w:type="dxa"/>
            <w:vAlign w:val="center"/>
          </w:tcPr>
          <w:p w14:paraId="4C520B9C" w14:textId="77777777" w:rsidR="009A7EF0" w:rsidRDefault="00000000">
            <w:pPr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  <w:lang w:eastAsia="zh-CN"/>
              </w:rPr>
            </w:pPr>
            <w:r>
              <w:rPr>
                <w:rFonts w:ascii="Times New Roman" w:eastAsia="仿宋" w:hAnsi="Times New Roman" w:hint="eastAsia"/>
                <w:sz w:val="24"/>
                <w:szCs w:val="28"/>
                <w:lang w:eastAsia="zh-CN"/>
              </w:rPr>
              <w:t>评价年度公司持续</w:t>
            </w:r>
            <w:proofErr w:type="gramStart"/>
            <w:r>
              <w:rPr>
                <w:rFonts w:ascii="Times New Roman" w:eastAsia="仿宋" w:hAnsi="Times New Roman"/>
                <w:sz w:val="24"/>
                <w:szCs w:val="28"/>
                <w:lang w:eastAsia="zh-CN"/>
              </w:rPr>
              <w:t>纳入北证</w:t>
            </w:r>
            <w:r>
              <w:rPr>
                <w:rFonts w:ascii="Times New Roman" w:eastAsia="仿宋" w:hAnsi="Times New Roman" w:hint="eastAsia"/>
                <w:sz w:val="24"/>
                <w:szCs w:val="28"/>
                <w:lang w:eastAsia="zh-CN"/>
              </w:rPr>
              <w:t>5</w:t>
            </w:r>
            <w:r>
              <w:rPr>
                <w:rFonts w:ascii="Times New Roman" w:eastAsia="仿宋" w:hAnsi="Times New Roman"/>
                <w:sz w:val="24"/>
                <w:szCs w:val="28"/>
                <w:lang w:eastAsia="zh-CN"/>
              </w:rPr>
              <w:t>0</w:t>
            </w:r>
            <w:r>
              <w:rPr>
                <w:rFonts w:ascii="Times New Roman" w:eastAsia="仿宋" w:hAnsi="Times New Roman" w:hint="eastAsia"/>
                <w:sz w:val="24"/>
                <w:szCs w:val="28"/>
                <w:lang w:eastAsia="zh-CN"/>
              </w:rPr>
              <w:t>等</w:t>
            </w:r>
            <w:proofErr w:type="gramEnd"/>
            <w:r>
              <w:rPr>
                <w:rFonts w:ascii="Times New Roman" w:eastAsia="仿宋" w:hAnsi="Times New Roman" w:hint="eastAsia"/>
                <w:sz w:val="24"/>
                <w:szCs w:val="28"/>
                <w:lang w:eastAsia="zh-CN"/>
              </w:rPr>
              <w:t>北交</w:t>
            </w:r>
            <w:proofErr w:type="gramStart"/>
            <w:r>
              <w:rPr>
                <w:rFonts w:ascii="Times New Roman" w:eastAsia="仿宋" w:hAnsi="Times New Roman" w:hint="eastAsia"/>
                <w:sz w:val="24"/>
                <w:szCs w:val="28"/>
                <w:lang w:eastAsia="zh-CN"/>
              </w:rPr>
              <w:t>所指数</w:t>
            </w:r>
            <w:proofErr w:type="gramEnd"/>
            <w:r>
              <w:rPr>
                <w:rFonts w:ascii="Times New Roman" w:eastAsia="仿宋" w:hAnsi="Times New Roman"/>
                <w:sz w:val="24"/>
                <w:szCs w:val="28"/>
                <w:lang w:eastAsia="zh-CN"/>
              </w:rPr>
              <w:t>的</w:t>
            </w:r>
            <w:r>
              <w:rPr>
                <w:rFonts w:ascii="Times New Roman" w:eastAsia="仿宋" w:hAnsi="Times New Roman" w:hint="eastAsia"/>
                <w:sz w:val="24"/>
                <w:szCs w:val="28"/>
                <w:lang w:eastAsia="zh-CN"/>
              </w:rPr>
              <w:t>赋值</w:t>
            </w:r>
            <w:r>
              <w:rPr>
                <w:rFonts w:ascii="Times New Roman" w:eastAsia="仿宋" w:hAnsi="Times New Roman" w:hint="eastAsia"/>
                <w:sz w:val="24"/>
                <w:szCs w:val="28"/>
                <w:lang w:eastAsia="zh-CN"/>
              </w:rPr>
              <w:t>100</w:t>
            </w:r>
            <w:r>
              <w:rPr>
                <w:rFonts w:ascii="Times New Roman" w:eastAsia="仿宋" w:hAnsi="Times New Roman" w:hint="eastAsia"/>
                <w:sz w:val="24"/>
                <w:szCs w:val="28"/>
                <w:lang w:eastAsia="zh-CN"/>
              </w:rPr>
              <w:t>分</w:t>
            </w:r>
            <w:r>
              <w:rPr>
                <w:rFonts w:ascii="Times New Roman" w:eastAsia="仿宋" w:hAnsi="Times New Roman"/>
                <w:sz w:val="24"/>
                <w:szCs w:val="28"/>
                <w:lang w:eastAsia="zh-CN"/>
              </w:rPr>
              <w:t>。</w:t>
            </w:r>
          </w:p>
        </w:tc>
      </w:tr>
      <w:tr w:rsidR="009A7EF0" w14:paraId="5A5A807B" w14:textId="77777777">
        <w:trPr>
          <w:trHeight w:val="689"/>
          <w:jc w:val="center"/>
        </w:trPr>
        <w:tc>
          <w:tcPr>
            <w:tcW w:w="1018" w:type="dxa"/>
            <w:vMerge/>
            <w:vAlign w:val="center"/>
          </w:tcPr>
          <w:p w14:paraId="0A1ED765" w14:textId="77777777" w:rsidR="009A7EF0" w:rsidRDefault="009A7EF0">
            <w:pPr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  <w:lang w:eastAsia="zh-CN"/>
              </w:rPr>
            </w:pPr>
          </w:p>
        </w:tc>
        <w:tc>
          <w:tcPr>
            <w:tcW w:w="1168" w:type="dxa"/>
            <w:vMerge w:val="restart"/>
            <w:vAlign w:val="center"/>
          </w:tcPr>
          <w:p w14:paraId="5C3A0686" w14:textId="77777777" w:rsidR="009A7EF0" w:rsidRDefault="0000000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pacing w:val="-4"/>
                <w:sz w:val="24"/>
                <w:szCs w:val="28"/>
              </w:rPr>
            </w:pPr>
            <w:r>
              <w:rPr>
                <w:rFonts w:ascii="Times New Roman" w:eastAsia="仿宋" w:hAnsi="Times New Roman"/>
                <w:spacing w:val="-4"/>
                <w:sz w:val="24"/>
                <w:szCs w:val="28"/>
              </w:rPr>
              <w:t>公司</w:t>
            </w:r>
            <w:r>
              <w:rPr>
                <w:rFonts w:ascii="Times New Roman" w:eastAsia="仿宋" w:hAnsi="Times New Roman" w:hint="eastAsia"/>
                <w:spacing w:val="-4"/>
                <w:sz w:val="24"/>
                <w:szCs w:val="28"/>
              </w:rPr>
              <w:t>治理</w:t>
            </w:r>
            <w:r>
              <w:rPr>
                <w:rFonts w:ascii="Times New Roman" w:eastAsia="仿宋" w:hAnsi="Times New Roman"/>
                <w:spacing w:val="-4"/>
                <w:sz w:val="24"/>
                <w:szCs w:val="28"/>
              </w:rPr>
              <w:t>质量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</w:rPr>
              <w:t>（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</w:rPr>
              <w:t>20%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</w:rPr>
              <w:t>）</w:t>
            </w:r>
          </w:p>
        </w:tc>
        <w:tc>
          <w:tcPr>
            <w:tcW w:w="2046" w:type="dxa"/>
            <w:vAlign w:val="center"/>
          </w:tcPr>
          <w:p w14:paraId="3919226E" w14:textId="77777777" w:rsidR="009A7EF0" w:rsidRDefault="0000000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pacing w:val="-2"/>
                <w:sz w:val="24"/>
                <w:szCs w:val="28"/>
              </w:rPr>
            </w:pPr>
            <w:r>
              <w:rPr>
                <w:rFonts w:ascii="Times New Roman" w:eastAsia="仿宋" w:hAnsi="Times New Roman"/>
                <w:spacing w:val="-2"/>
                <w:sz w:val="24"/>
                <w:szCs w:val="28"/>
              </w:rPr>
              <w:t>信息披露</w:t>
            </w:r>
            <w:r>
              <w:rPr>
                <w:rFonts w:ascii="Times New Roman" w:eastAsia="仿宋" w:hAnsi="Times New Roman" w:hint="eastAsia"/>
                <w:spacing w:val="-2"/>
                <w:sz w:val="24"/>
                <w:szCs w:val="28"/>
              </w:rPr>
              <w:t>（</w:t>
            </w:r>
            <w:r>
              <w:rPr>
                <w:rFonts w:ascii="Times New Roman" w:eastAsia="仿宋" w:hAnsi="Times New Roman" w:hint="eastAsia"/>
                <w:spacing w:val="-2"/>
                <w:sz w:val="24"/>
                <w:szCs w:val="28"/>
              </w:rPr>
              <w:t>1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</w:rPr>
              <w:t>0</w:t>
            </w:r>
            <w:r>
              <w:rPr>
                <w:rFonts w:ascii="Times New Roman" w:eastAsia="仿宋" w:hAnsi="Times New Roman" w:hint="eastAsia"/>
                <w:spacing w:val="-2"/>
                <w:sz w:val="24"/>
                <w:szCs w:val="28"/>
              </w:rPr>
              <w:t>%</w:t>
            </w:r>
            <w:r>
              <w:rPr>
                <w:rFonts w:ascii="Times New Roman" w:eastAsia="仿宋" w:hAnsi="Times New Roman" w:hint="eastAsia"/>
                <w:spacing w:val="-2"/>
                <w:sz w:val="24"/>
                <w:szCs w:val="28"/>
              </w:rPr>
              <w:t>）</w:t>
            </w:r>
          </w:p>
        </w:tc>
        <w:tc>
          <w:tcPr>
            <w:tcW w:w="3719" w:type="dxa"/>
            <w:vAlign w:val="center"/>
          </w:tcPr>
          <w:p w14:paraId="144AA5C3" w14:textId="77777777" w:rsidR="009A7EF0" w:rsidRDefault="0000000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</w:pPr>
            <w:r>
              <w:rPr>
                <w:rFonts w:ascii="Times New Roman" w:eastAsia="仿宋" w:hAnsi="Times New Roman" w:hint="eastAsia"/>
                <w:spacing w:val="-2"/>
                <w:sz w:val="24"/>
                <w:szCs w:val="28"/>
                <w:lang w:eastAsia="zh-CN"/>
              </w:rPr>
              <w:t>信息披露评级（</w:t>
            </w:r>
            <w:r>
              <w:rPr>
                <w:rFonts w:ascii="Times New Roman" w:eastAsia="仿宋" w:hAnsi="Times New Roman" w:hint="eastAsia"/>
                <w:spacing w:val="-2"/>
                <w:sz w:val="24"/>
                <w:szCs w:val="28"/>
                <w:lang w:eastAsia="zh-CN"/>
              </w:rPr>
              <w:t>+</w:t>
            </w:r>
            <w:r>
              <w:rPr>
                <w:rFonts w:ascii="Times New Roman" w:eastAsia="仿宋" w:hAnsi="Times New Roman" w:hint="eastAsia"/>
                <w:spacing w:val="-2"/>
                <w:sz w:val="24"/>
                <w:szCs w:val="28"/>
                <w:lang w:eastAsia="zh-CN"/>
              </w:rPr>
              <w:t>）（</w:t>
            </w:r>
            <w:r>
              <w:rPr>
                <w:rFonts w:ascii="Times New Roman" w:eastAsia="仿宋" w:hAnsi="Times New Roman" w:hint="eastAsia"/>
                <w:spacing w:val="-2"/>
                <w:sz w:val="24"/>
                <w:szCs w:val="28"/>
                <w:lang w:eastAsia="zh-CN"/>
              </w:rPr>
              <w:t>1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0</w:t>
            </w:r>
            <w:r>
              <w:rPr>
                <w:rFonts w:ascii="Times New Roman" w:eastAsia="仿宋" w:hAnsi="Times New Roman" w:hint="eastAsia"/>
                <w:spacing w:val="-2"/>
                <w:sz w:val="24"/>
                <w:szCs w:val="28"/>
                <w:lang w:eastAsia="zh-CN"/>
              </w:rPr>
              <w:t>%</w:t>
            </w:r>
            <w:r>
              <w:rPr>
                <w:rFonts w:ascii="Times New Roman" w:eastAsia="仿宋" w:hAnsi="Times New Roman" w:hint="eastAsia"/>
                <w:spacing w:val="-2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3191" w:type="dxa"/>
            <w:vAlign w:val="center"/>
          </w:tcPr>
          <w:p w14:paraId="0EC5EE7A" w14:textId="77777777" w:rsidR="009A7EF0" w:rsidRDefault="0000000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pacing w:val="-7"/>
                <w:sz w:val="24"/>
                <w:szCs w:val="28"/>
                <w:lang w:eastAsia="zh-CN"/>
              </w:rPr>
            </w:pPr>
            <w:r>
              <w:rPr>
                <w:rFonts w:ascii="Times New Roman" w:eastAsia="仿宋" w:hAnsi="Times New Roman" w:hint="eastAsia"/>
                <w:spacing w:val="-7"/>
                <w:sz w:val="24"/>
                <w:szCs w:val="28"/>
                <w:lang w:eastAsia="zh-CN"/>
              </w:rPr>
              <w:t>A</w:t>
            </w:r>
            <w:r>
              <w:rPr>
                <w:rFonts w:ascii="Times New Roman" w:eastAsia="仿宋" w:hAnsi="Times New Roman" w:hint="eastAsia"/>
                <w:spacing w:val="-7"/>
                <w:sz w:val="24"/>
                <w:szCs w:val="28"/>
                <w:lang w:eastAsia="zh-CN"/>
              </w:rPr>
              <w:t>类赋值</w:t>
            </w:r>
            <w:r>
              <w:rPr>
                <w:rFonts w:ascii="Times New Roman" w:eastAsia="仿宋" w:hAnsi="Times New Roman" w:hint="eastAsia"/>
                <w:spacing w:val="-7"/>
                <w:sz w:val="24"/>
                <w:szCs w:val="28"/>
                <w:lang w:eastAsia="zh-CN"/>
              </w:rPr>
              <w:t>1</w:t>
            </w:r>
            <w:r>
              <w:rPr>
                <w:rFonts w:ascii="Times New Roman" w:eastAsia="仿宋" w:hAnsi="Times New Roman"/>
                <w:spacing w:val="-7"/>
                <w:sz w:val="24"/>
                <w:szCs w:val="28"/>
                <w:lang w:eastAsia="zh-CN"/>
              </w:rPr>
              <w:t>00</w:t>
            </w:r>
            <w:r>
              <w:rPr>
                <w:rFonts w:ascii="Times New Roman" w:eastAsia="仿宋" w:hAnsi="Times New Roman" w:hint="eastAsia"/>
                <w:spacing w:val="-7"/>
                <w:sz w:val="24"/>
                <w:szCs w:val="28"/>
                <w:lang w:eastAsia="zh-CN"/>
              </w:rPr>
              <w:t>，</w:t>
            </w:r>
            <w:r>
              <w:rPr>
                <w:rFonts w:ascii="Times New Roman" w:eastAsia="仿宋" w:hAnsi="Times New Roman" w:hint="eastAsia"/>
                <w:spacing w:val="-7"/>
                <w:sz w:val="24"/>
                <w:szCs w:val="28"/>
                <w:lang w:eastAsia="zh-CN"/>
              </w:rPr>
              <w:t>B</w:t>
            </w:r>
            <w:r>
              <w:rPr>
                <w:rFonts w:ascii="Times New Roman" w:eastAsia="仿宋" w:hAnsi="Times New Roman" w:hint="eastAsia"/>
                <w:spacing w:val="-7"/>
                <w:sz w:val="24"/>
                <w:szCs w:val="28"/>
                <w:lang w:eastAsia="zh-CN"/>
              </w:rPr>
              <w:t>类赋值</w:t>
            </w:r>
            <w:r>
              <w:rPr>
                <w:rFonts w:ascii="Times New Roman" w:eastAsia="仿宋" w:hAnsi="Times New Roman" w:hint="eastAsia"/>
                <w:spacing w:val="-7"/>
                <w:sz w:val="24"/>
                <w:szCs w:val="28"/>
                <w:lang w:eastAsia="zh-CN"/>
              </w:rPr>
              <w:t>6</w:t>
            </w:r>
            <w:r>
              <w:rPr>
                <w:rFonts w:ascii="Times New Roman" w:eastAsia="仿宋" w:hAnsi="Times New Roman"/>
                <w:spacing w:val="-7"/>
                <w:sz w:val="24"/>
                <w:szCs w:val="28"/>
                <w:lang w:eastAsia="zh-CN"/>
              </w:rPr>
              <w:t>0</w:t>
            </w:r>
            <w:r>
              <w:rPr>
                <w:rFonts w:ascii="Times New Roman" w:eastAsia="仿宋" w:hAnsi="Times New Roman" w:hint="eastAsia"/>
                <w:spacing w:val="-7"/>
                <w:sz w:val="24"/>
                <w:szCs w:val="28"/>
                <w:lang w:eastAsia="zh-CN"/>
              </w:rPr>
              <w:t>，</w:t>
            </w:r>
            <w:r>
              <w:rPr>
                <w:rFonts w:ascii="Times New Roman" w:eastAsia="仿宋" w:hAnsi="Times New Roman" w:hint="eastAsia"/>
                <w:spacing w:val="-7"/>
                <w:sz w:val="24"/>
                <w:szCs w:val="28"/>
                <w:lang w:eastAsia="zh-CN"/>
              </w:rPr>
              <w:t>C</w:t>
            </w:r>
            <w:r>
              <w:rPr>
                <w:rFonts w:ascii="Times New Roman" w:eastAsia="仿宋" w:hAnsi="Times New Roman" w:hint="eastAsia"/>
                <w:spacing w:val="-7"/>
                <w:sz w:val="24"/>
                <w:szCs w:val="28"/>
                <w:lang w:eastAsia="zh-CN"/>
              </w:rPr>
              <w:t>类赋值</w:t>
            </w:r>
            <w:r>
              <w:rPr>
                <w:rFonts w:ascii="Times New Roman" w:eastAsia="仿宋" w:hAnsi="Times New Roman" w:hint="eastAsia"/>
                <w:spacing w:val="-7"/>
                <w:sz w:val="24"/>
                <w:szCs w:val="28"/>
                <w:lang w:eastAsia="zh-CN"/>
              </w:rPr>
              <w:t>3</w:t>
            </w:r>
            <w:r>
              <w:rPr>
                <w:rFonts w:ascii="Times New Roman" w:eastAsia="仿宋" w:hAnsi="Times New Roman"/>
                <w:spacing w:val="-7"/>
                <w:sz w:val="24"/>
                <w:szCs w:val="28"/>
                <w:lang w:eastAsia="zh-CN"/>
              </w:rPr>
              <w:t>0</w:t>
            </w:r>
            <w:r>
              <w:rPr>
                <w:rFonts w:ascii="Times New Roman" w:eastAsia="仿宋" w:hAnsi="Times New Roman" w:hint="eastAsia"/>
                <w:spacing w:val="-7"/>
                <w:sz w:val="24"/>
                <w:szCs w:val="28"/>
                <w:lang w:eastAsia="zh-CN"/>
              </w:rPr>
              <w:t>，</w:t>
            </w:r>
            <w:r>
              <w:rPr>
                <w:rFonts w:ascii="Times New Roman" w:eastAsia="仿宋" w:hAnsi="Times New Roman" w:hint="eastAsia"/>
                <w:spacing w:val="-7"/>
                <w:sz w:val="24"/>
                <w:szCs w:val="28"/>
                <w:lang w:eastAsia="zh-CN"/>
              </w:rPr>
              <w:t>D</w:t>
            </w:r>
            <w:r>
              <w:rPr>
                <w:rFonts w:ascii="Times New Roman" w:eastAsia="仿宋" w:hAnsi="Times New Roman" w:hint="eastAsia"/>
                <w:spacing w:val="-7"/>
                <w:sz w:val="24"/>
                <w:szCs w:val="28"/>
                <w:lang w:eastAsia="zh-CN"/>
              </w:rPr>
              <w:t>类赋值</w:t>
            </w:r>
            <w:r>
              <w:rPr>
                <w:rFonts w:ascii="Times New Roman" w:eastAsia="仿宋" w:hAnsi="Times New Roman" w:hint="eastAsia"/>
                <w:spacing w:val="-7"/>
                <w:sz w:val="24"/>
                <w:szCs w:val="28"/>
                <w:lang w:eastAsia="zh-CN"/>
              </w:rPr>
              <w:t>0</w:t>
            </w:r>
            <w:r>
              <w:rPr>
                <w:rFonts w:ascii="Times New Roman" w:eastAsia="仿宋" w:hAnsi="Times New Roman" w:hint="eastAsia"/>
                <w:spacing w:val="-7"/>
                <w:sz w:val="24"/>
                <w:szCs w:val="28"/>
                <w:lang w:eastAsia="zh-CN"/>
              </w:rPr>
              <w:t>。</w:t>
            </w:r>
          </w:p>
        </w:tc>
      </w:tr>
      <w:tr w:rsidR="009A7EF0" w14:paraId="65FD0370" w14:textId="77777777">
        <w:trPr>
          <w:trHeight w:val="689"/>
          <w:jc w:val="center"/>
        </w:trPr>
        <w:tc>
          <w:tcPr>
            <w:tcW w:w="1018" w:type="dxa"/>
            <w:vMerge/>
            <w:vAlign w:val="center"/>
          </w:tcPr>
          <w:p w14:paraId="5CFFD76F" w14:textId="77777777" w:rsidR="009A7EF0" w:rsidRDefault="009A7EF0">
            <w:pPr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  <w:lang w:eastAsia="zh-CN"/>
              </w:rPr>
            </w:pPr>
          </w:p>
        </w:tc>
        <w:tc>
          <w:tcPr>
            <w:tcW w:w="1168" w:type="dxa"/>
            <w:vMerge/>
            <w:vAlign w:val="center"/>
          </w:tcPr>
          <w:p w14:paraId="5DF8949D" w14:textId="77777777" w:rsidR="009A7EF0" w:rsidRDefault="009A7EF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  <w:lang w:eastAsia="zh-CN"/>
              </w:rPr>
            </w:pPr>
          </w:p>
        </w:tc>
        <w:tc>
          <w:tcPr>
            <w:tcW w:w="2046" w:type="dxa"/>
            <w:vAlign w:val="center"/>
          </w:tcPr>
          <w:p w14:paraId="246A3C54" w14:textId="77777777" w:rsidR="009A7EF0" w:rsidRDefault="0000000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>
              <w:rPr>
                <w:rFonts w:ascii="Times New Roman" w:eastAsia="仿宋" w:hAnsi="Times New Roman"/>
                <w:spacing w:val="-2"/>
                <w:sz w:val="24"/>
                <w:szCs w:val="28"/>
              </w:rPr>
              <w:t>监管合规</w:t>
            </w:r>
            <w:r>
              <w:rPr>
                <w:rFonts w:ascii="Times New Roman" w:eastAsia="仿宋" w:hAnsi="Times New Roman"/>
                <w:spacing w:val="-4"/>
                <w:sz w:val="24"/>
                <w:szCs w:val="28"/>
              </w:rPr>
              <w:t>（</w:t>
            </w:r>
            <w:r>
              <w:rPr>
                <w:rFonts w:ascii="Times New Roman" w:eastAsia="仿宋" w:hAnsi="Times New Roman"/>
                <w:spacing w:val="-4"/>
                <w:sz w:val="24"/>
                <w:szCs w:val="28"/>
              </w:rPr>
              <w:t>10%</w:t>
            </w:r>
            <w:r>
              <w:rPr>
                <w:rFonts w:ascii="Times New Roman" w:eastAsia="仿宋" w:hAnsi="Times New Roman"/>
                <w:spacing w:val="-4"/>
                <w:sz w:val="24"/>
                <w:szCs w:val="28"/>
              </w:rPr>
              <w:t>）</w:t>
            </w:r>
          </w:p>
        </w:tc>
        <w:tc>
          <w:tcPr>
            <w:tcW w:w="3719" w:type="dxa"/>
            <w:vAlign w:val="center"/>
          </w:tcPr>
          <w:p w14:paraId="1A992E92" w14:textId="77777777" w:rsidR="009A7EF0" w:rsidRDefault="0000000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  <w:lang w:eastAsia="zh-CN"/>
              </w:rPr>
            </w:pPr>
            <w:r>
              <w:rPr>
                <w:rFonts w:ascii="Times New Roman" w:eastAsia="仿宋" w:hAnsi="Times New Roman" w:hint="eastAsia"/>
                <w:spacing w:val="-2"/>
                <w:sz w:val="24"/>
                <w:szCs w:val="28"/>
                <w:lang w:eastAsia="zh-CN"/>
              </w:rPr>
              <w:t>行政监管处罚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（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-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）（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10%</w:t>
            </w:r>
            <w:r>
              <w:rPr>
                <w:rFonts w:ascii="Times New Roman" w:eastAsia="仿宋" w:hAnsi="Times New Roman"/>
                <w:spacing w:val="-2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3191" w:type="dxa"/>
            <w:vAlign w:val="center"/>
          </w:tcPr>
          <w:p w14:paraId="019C5888" w14:textId="77777777" w:rsidR="009A7EF0" w:rsidRDefault="0000000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z w:val="24"/>
                <w:szCs w:val="28"/>
                <w:lang w:eastAsia="zh-CN"/>
              </w:rPr>
            </w:pPr>
            <w:r>
              <w:rPr>
                <w:rFonts w:ascii="Times New Roman" w:eastAsia="仿宋" w:hAnsi="Times New Roman"/>
                <w:spacing w:val="-7"/>
                <w:sz w:val="24"/>
                <w:szCs w:val="28"/>
                <w:lang w:eastAsia="zh-CN"/>
              </w:rPr>
              <w:t>初始赋值</w:t>
            </w:r>
            <w:r>
              <w:rPr>
                <w:rFonts w:ascii="Times New Roman" w:eastAsia="仿宋" w:hAnsi="Times New Roman"/>
                <w:spacing w:val="-7"/>
                <w:sz w:val="24"/>
                <w:szCs w:val="28"/>
                <w:lang w:eastAsia="zh-CN"/>
              </w:rPr>
              <w:t>100</w:t>
            </w:r>
            <w:r>
              <w:rPr>
                <w:rFonts w:ascii="Times New Roman" w:eastAsia="仿宋" w:hAnsi="Times New Roman"/>
                <w:spacing w:val="-7"/>
                <w:sz w:val="24"/>
                <w:szCs w:val="28"/>
                <w:lang w:eastAsia="zh-CN"/>
              </w:rPr>
              <w:t>分，按照处罚次数累加扣分。其中</w:t>
            </w:r>
            <w:r>
              <w:rPr>
                <w:rFonts w:ascii="Times New Roman" w:eastAsia="仿宋" w:hAnsi="Times New Roman" w:hint="eastAsia"/>
                <w:spacing w:val="-7"/>
                <w:sz w:val="24"/>
                <w:szCs w:val="28"/>
                <w:lang w:eastAsia="zh-CN"/>
              </w:rPr>
              <w:t>，</w:t>
            </w:r>
            <w:r>
              <w:rPr>
                <w:rFonts w:ascii="Times New Roman" w:eastAsia="仿宋" w:hAnsi="Times New Roman"/>
                <w:spacing w:val="-7"/>
                <w:sz w:val="24"/>
                <w:szCs w:val="28"/>
                <w:lang w:eastAsia="zh-CN"/>
              </w:rPr>
              <w:t>行政监管措施扣</w:t>
            </w:r>
            <w:r>
              <w:rPr>
                <w:rFonts w:ascii="Times New Roman" w:eastAsia="仿宋" w:hAnsi="Times New Roman"/>
                <w:spacing w:val="-7"/>
                <w:sz w:val="24"/>
                <w:szCs w:val="28"/>
                <w:lang w:eastAsia="zh-CN"/>
              </w:rPr>
              <w:t>20</w:t>
            </w:r>
            <w:r>
              <w:rPr>
                <w:rFonts w:ascii="Times New Roman" w:eastAsia="仿宋" w:hAnsi="Times New Roman"/>
                <w:spacing w:val="-7"/>
                <w:sz w:val="24"/>
                <w:szCs w:val="28"/>
                <w:lang w:eastAsia="zh-CN"/>
              </w:rPr>
              <w:t>分，行政处罚扣</w:t>
            </w:r>
            <w:r>
              <w:rPr>
                <w:rFonts w:ascii="Times New Roman" w:eastAsia="仿宋" w:hAnsi="Times New Roman"/>
                <w:spacing w:val="-7"/>
                <w:sz w:val="24"/>
                <w:szCs w:val="28"/>
                <w:lang w:eastAsia="zh-CN"/>
              </w:rPr>
              <w:t>40</w:t>
            </w:r>
            <w:r>
              <w:rPr>
                <w:rFonts w:ascii="Times New Roman" w:eastAsia="仿宋" w:hAnsi="Times New Roman"/>
                <w:spacing w:val="-7"/>
                <w:sz w:val="24"/>
                <w:szCs w:val="28"/>
                <w:lang w:eastAsia="zh-CN"/>
              </w:rPr>
              <w:t>分</w:t>
            </w:r>
            <w:r>
              <w:rPr>
                <w:rFonts w:ascii="Times New Roman" w:eastAsia="仿宋" w:hAnsi="Times New Roman" w:hint="eastAsia"/>
                <w:spacing w:val="-7"/>
                <w:sz w:val="24"/>
                <w:szCs w:val="28"/>
                <w:lang w:eastAsia="zh-CN"/>
              </w:rPr>
              <w:t>。</w:t>
            </w:r>
          </w:p>
        </w:tc>
      </w:tr>
      <w:tr w:rsidR="009A7EF0" w14:paraId="559B7833" w14:textId="77777777">
        <w:trPr>
          <w:trHeight w:val="689"/>
          <w:jc w:val="center"/>
        </w:trPr>
        <w:tc>
          <w:tcPr>
            <w:tcW w:w="1018" w:type="dxa"/>
            <w:vAlign w:val="center"/>
          </w:tcPr>
          <w:p w14:paraId="3679DC12" w14:textId="77777777" w:rsidR="009A7EF0" w:rsidRDefault="0000000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pacing w:val="-7"/>
                <w:sz w:val="24"/>
                <w:szCs w:val="28"/>
              </w:rPr>
            </w:pPr>
            <w:r>
              <w:rPr>
                <w:rFonts w:ascii="Times New Roman" w:eastAsia="仿宋" w:hAnsi="Times New Roman"/>
                <w:spacing w:val="-7"/>
                <w:sz w:val="24"/>
                <w:szCs w:val="28"/>
              </w:rPr>
              <w:t>保荐业务质量（</w:t>
            </w:r>
            <w:r>
              <w:rPr>
                <w:rFonts w:ascii="Times New Roman" w:eastAsia="仿宋" w:hAnsi="Times New Roman"/>
                <w:spacing w:val="-7"/>
                <w:sz w:val="24"/>
                <w:szCs w:val="28"/>
              </w:rPr>
              <w:t>10%</w:t>
            </w:r>
            <w:r>
              <w:rPr>
                <w:rFonts w:ascii="Times New Roman" w:eastAsia="仿宋" w:hAnsi="Times New Roman"/>
                <w:spacing w:val="-7"/>
                <w:sz w:val="24"/>
                <w:szCs w:val="28"/>
              </w:rPr>
              <w:t>）</w:t>
            </w:r>
          </w:p>
        </w:tc>
        <w:tc>
          <w:tcPr>
            <w:tcW w:w="1168" w:type="dxa"/>
            <w:vAlign w:val="center"/>
          </w:tcPr>
          <w:p w14:paraId="7BFC718E" w14:textId="77777777" w:rsidR="009A7EF0" w:rsidRDefault="0000000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pacing w:val="-7"/>
                <w:sz w:val="24"/>
                <w:szCs w:val="28"/>
              </w:rPr>
            </w:pPr>
            <w:r>
              <w:rPr>
                <w:rFonts w:ascii="Times New Roman" w:eastAsia="仿宋" w:hAnsi="Times New Roman" w:hint="eastAsia"/>
                <w:spacing w:val="-7"/>
                <w:sz w:val="24"/>
                <w:szCs w:val="28"/>
              </w:rPr>
              <w:t>执业质量评价</w:t>
            </w:r>
            <w:r>
              <w:rPr>
                <w:rFonts w:ascii="Times New Roman" w:eastAsia="仿宋" w:hAnsi="Times New Roman"/>
                <w:spacing w:val="-7"/>
                <w:sz w:val="24"/>
                <w:szCs w:val="28"/>
              </w:rPr>
              <w:t>（</w:t>
            </w:r>
            <w:r>
              <w:rPr>
                <w:rFonts w:ascii="Times New Roman" w:eastAsia="仿宋" w:hAnsi="Times New Roman"/>
                <w:spacing w:val="-7"/>
                <w:sz w:val="24"/>
                <w:szCs w:val="28"/>
              </w:rPr>
              <w:t>10%</w:t>
            </w:r>
            <w:r>
              <w:rPr>
                <w:rFonts w:ascii="Times New Roman" w:eastAsia="仿宋" w:hAnsi="Times New Roman"/>
                <w:spacing w:val="-7"/>
                <w:sz w:val="24"/>
                <w:szCs w:val="28"/>
              </w:rPr>
              <w:t>）</w:t>
            </w:r>
          </w:p>
        </w:tc>
        <w:tc>
          <w:tcPr>
            <w:tcW w:w="2046" w:type="dxa"/>
            <w:vAlign w:val="center"/>
          </w:tcPr>
          <w:p w14:paraId="1E9D5EAE" w14:textId="77777777" w:rsidR="009A7EF0" w:rsidRDefault="0000000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pacing w:val="-7"/>
                <w:sz w:val="24"/>
                <w:szCs w:val="28"/>
              </w:rPr>
            </w:pPr>
            <w:r>
              <w:rPr>
                <w:rFonts w:ascii="Times New Roman" w:eastAsia="仿宋" w:hAnsi="Times New Roman" w:hint="eastAsia"/>
                <w:spacing w:val="-7"/>
                <w:sz w:val="24"/>
                <w:szCs w:val="28"/>
              </w:rPr>
              <w:t>保荐业务评价</w:t>
            </w:r>
            <w:r>
              <w:rPr>
                <w:rFonts w:ascii="Times New Roman" w:eastAsia="仿宋" w:hAnsi="Times New Roman"/>
                <w:spacing w:val="-7"/>
                <w:sz w:val="24"/>
                <w:szCs w:val="28"/>
              </w:rPr>
              <w:t>（</w:t>
            </w:r>
            <w:r>
              <w:rPr>
                <w:rFonts w:ascii="Times New Roman" w:eastAsia="仿宋" w:hAnsi="Times New Roman"/>
                <w:spacing w:val="-7"/>
                <w:sz w:val="24"/>
                <w:szCs w:val="28"/>
              </w:rPr>
              <w:t>10%</w:t>
            </w:r>
            <w:r>
              <w:rPr>
                <w:rFonts w:ascii="Times New Roman" w:eastAsia="仿宋" w:hAnsi="Times New Roman"/>
                <w:spacing w:val="-7"/>
                <w:sz w:val="24"/>
                <w:szCs w:val="28"/>
              </w:rPr>
              <w:t>）</w:t>
            </w:r>
          </w:p>
        </w:tc>
        <w:tc>
          <w:tcPr>
            <w:tcW w:w="3719" w:type="dxa"/>
            <w:vAlign w:val="center"/>
          </w:tcPr>
          <w:p w14:paraId="16460A10" w14:textId="77777777" w:rsidR="009A7EF0" w:rsidRDefault="0000000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pacing w:val="-7"/>
                <w:sz w:val="24"/>
                <w:szCs w:val="28"/>
                <w:lang w:eastAsia="zh-CN"/>
              </w:rPr>
            </w:pPr>
            <w:r>
              <w:rPr>
                <w:rFonts w:ascii="Times New Roman" w:eastAsia="仿宋" w:hAnsi="Times New Roman" w:hint="eastAsia"/>
                <w:spacing w:val="-7"/>
                <w:sz w:val="24"/>
                <w:szCs w:val="28"/>
                <w:lang w:eastAsia="zh-CN"/>
              </w:rPr>
              <w:t>保荐</w:t>
            </w:r>
            <w:r>
              <w:rPr>
                <w:rFonts w:ascii="Times New Roman" w:eastAsia="仿宋" w:hAnsi="Times New Roman"/>
                <w:spacing w:val="-7"/>
                <w:sz w:val="24"/>
                <w:szCs w:val="28"/>
                <w:lang w:eastAsia="zh-CN"/>
              </w:rPr>
              <w:t>业务</w:t>
            </w:r>
            <w:r>
              <w:rPr>
                <w:rFonts w:ascii="Times New Roman" w:eastAsia="仿宋" w:hAnsi="Times New Roman" w:hint="eastAsia"/>
                <w:spacing w:val="-7"/>
                <w:sz w:val="24"/>
                <w:szCs w:val="28"/>
                <w:lang w:eastAsia="zh-CN"/>
              </w:rPr>
              <w:t>评价</w:t>
            </w:r>
            <w:r>
              <w:rPr>
                <w:rFonts w:ascii="Times New Roman" w:eastAsia="仿宋" w:hAnsi="Times New Roman"/>
                <w:spacing w:val="-7"/>
                <w:sz w:val="24"/>
                <w:szCs w:val="28"/>
                <w:lang w:eastAsia="zh-CN"/>
              </w:rPr>
              <w:t>（</w:t>
            </w:r>
            <w:r>
              <w:rPr>
                <w:rFonts w:ascii="Times New Roman" w:eastAsia="仿宋" w:hAnsi="Times New Roman"/>
                <w:spacing w:val="-7"/>
                <w:sz w:val="24"/>
                <w:szCs w:val="28"/>
                <w:lang w:eastAsia="zh-CN"/>
              </w:rPr>
              <w:t>+</w:t>
            </w:r>
            <w:r>
              <w:rPr>
                <w:rFonts w:ascii="Times New Roman" w:eastAsia="仿宋" w:hAnsi="Times New Roman"/>
                <w:spacing w:val="-7"/>
                <w:sz w:val="24"/>
                <w:szCs w:val="28"/>
                <w:lang w:eastAsia="zh-CN"/>
              </w:rPr>
              <w:t>）（</w:t>
            </w:r>
            <w:r>
              <w:rPr>
                <w:rFonts w:ascii="Times New Roman" w:eastAsia="仿宋" w:hAnsi="Times New Roman"/>
                <w:spacing w:val="-7"/>
                <w:sz w:val="24"/>
                <w:szCs w:val="28"/>
                <w:lang w:eastAsia="zh-CN"/>
              </w:rPr>
              <w:t>10%</w:t>
            </w:r>
            <w:r>
              <w:rPr>
                <w:rFonts w:ascii="Times New Roman" w:eastAsia="仿宋" w:hAnsi="Times New Roman"/>
                <w:spacing w:val="-7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3191" w:type="dxa"/>
            <w:vAlign w:val="center"/>
          </w:tcPr>
          <w:p w14:paraId="17FCBAEB" w14:textId="77777777" w:rsidR="009A7EF0" w:rsidRDefault="00000000">
            <w:pPr>
              <w:pStyle w:val="TableParagraph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Times New Roman" w:eastAsia="仿宋" w:hAnsi="Times New Roman"/>
                <w:spacing w:val="-7"/>
                <w:sz w:val="24"/>
                <w:szCs w:val="28"/>
                <w:lang w:eastAsia="zh-CN"/>
              </w:rPr>
            </w:pPr>
            <w:proofErr w:type="gramStart"/>
            <w:r>
              <w:rPr>
                <w:rFonts w:ascii="Times New Roman" w:eastAsia="仿宋" w:hAnsi="Times New Roman" w:hint="eastAsia"/>
                <w:spacing w:val="-7"/>
                <w:sz w:val="24"/>
                <w:szCs w:val="28"/>
                <w:lang w:eastAsia="zh-CN"/>
              </w:rPr>
              <w:t>按评价</w:t>
            </w:r>
            <w:proofErr w:type="gramEnd"/>
            <w:r>
              <w:rPr>
                <w:rFonts w:ascii="Times New Roman" w:eastAsia="仿宋" w:hAnsi="Times New Roman" w:hint="eastAsia"/>
                <w:spacing w:val="-7"/>
                <w:sz w:val="24"/>
                <w:szCs w:val="28"/>
                <w:lang w:eastAsia="zh-CN"/>
              </w:rPr>
              <w:t>年度评分结果折算赋值。</w:t>
            </w:r>
            <w:r>
              <w:rPr>
                <w:rFonts w:ascii="Times New Roman" w:eastAsia="仿宋" w:hAnsi="Times New Roman"/>
                <w:spacing w:val="-7"/>
                <w:sz w:val="24"/>
                <w:szCs w:val="28"/>
                <w:lang w:eastAsia="zh-CN"/>
              </w:rPr>
              <w:t>具体评分结果</w:t>
            </w:r>
            <w:r>
              <w:rPr>
                <w:rFonts w:ascii="Times New Roman" w:eastAsia="仿宋" w:hAnsi="Times New Roman" w:hint="eastAsia"/>
                <w:spacing w:val="-7"/>
                <w:sz w:val="24"/>
                <w:szCs w:val="28"/>
                <w:lang w:eastAsia="zh-CN"/>
              </w:rPr>
              <w:t>按照执业质量评价中的保荐业务</w:t>
            </w:r>
            <w:r>
              <w:rPr>
                <w:rFonts w:ascii="Times New Roman" w:eastAsia="仿宋" w:hAnsi="Times New Roman"/>
                <w:spacing w:val="-7"/>
                <w:sz w:val="24"/>
                <w:szCs w:val="28"/>
                <w:lang w:eastAsia="zh-CN"/>
              </w:rPr>
              <w:t>执业质量评价</w:t>
            </w:r>
            <w:r>
              <w:rPr>
                <w:rFonts w:ascii="Times New Roman" w:eastAsia="仿宋" w:hAnsi="Times New Roman" w:hint="eastAsia"/>
                <w:spacing w:val="-7"/>
                <w:sz w:val="24"/>
                <w:szCs w:val="28"/>
                <w:lang w:eastAsia="zh-CN"/>
              </w:rPr>
              <w:t>指标计算。</w:t>
            </w:r>
          </w:p>
        </w:tc>
      </w:tr>
      <w:tr w:rsidR="009A7EF0" w14:paraId="5AEC80F9" w14:textId="77777777">
        <w:trPr>
          <w:trHeight w:val="689"/>
          <w:jc w:val="center"/>
        </w:trPr>
        <w:tc>
          <w:tcPr>
            <w:tcW w:w="1018" w:type="dxa"/>
            <w:vMerge w:val="restart"/>
            <w:vAlign w:val="center"/>
          </w:tcPr>
          <w:p w14:paraId="485F2A86" w14:textId="77777777" w:rsidR="009A7EF0" w:rsidRDefault="00000000">
            <w:pPr>
              <w:pStyle w:val="a3"/>
              <w:overflowPunct w:val="0"/>
              <w:adjustRightInd w:val="0"/>
              <w:snapToGrid w:val="0"/>
              <w:spacing w:line="480" w:lineRule="exact"/>
              <w:ind w:left="0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仿宋" w:hAnsi="Times New Roman"/>
                <w:sz w:val="24"/>
                <w:szCs w:val="28"/>
              </w:rPr>
              <w:t>评价调整</w:t>
            </w:r>
            <w:proofErr w:type="spellEnd"/>
          </w:p>
        </w:tc>
        <w:tc>
          <w:tcPr>
            <w:tcW w:w="1168" w:type="dxa"/>
            <w:vMerge w:val="restart"/>
            <w:vAlign w:val="center"/>
          </w:tcPr>
          <w:p w14:paraId="05EF2309" w14:textId="77777777" w:rsidR="009A7EF0" w:rsidRDefault="00000000">
            <w:pPr>
              <w:pStyle w:val="a3"/>
              <w:overflowPunct w:val="0"/>
              <w:adjustRightInd w:val="0"/>
              <w:snapToGrid w:val="0"/>
              <w:spacing w:line="480" w:lineRule="exact"/>
              <w:ind w:left="0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仿宋" w:hAnsi="Times New Roman"/>
                <w:sz w:val="24"/>
                <w:szCs w:val="28"/>
              </w:rPr>
              <w:t>评价得分调整</w:t>
            </w:r>
            <w:proofErr w:type="spellEnd"/>
          </w:p>
        </w:tc>
        <w:tc>
          <w:tcPr>
            <w:tcW w:w="2046" w:type="dxa"/>
            <w:vAlign w:val="center"/>
          </w:tcPr>
          <w:p w14:paraId="421FC744" w14:textId="77777777" w:rsidR="009A7EF0" w:rsidRDefault="00000000">
            <w:pPr>
              <w:pStyle w:val="a3"/>
              <w:overflowPunct w:val="0"/>
              <w:adjustRightInd w:val="0"/>
              <w:snapToGrid w:val="0"/>
              <w:spacing w:line="480" w:lineRule="exact"/>
              <w:ind w:left="0"/>
              <w:jc w:val="center"/>
              <w:rPr>
                <w:rFonts w:ascii="Times New Roman" w:eastAsia="仿宋" w:hAnsi="Times New Roman"/>
                <w:sz w:val="24"/>
                <w:szCs w:val="28"/>
                <w:lang w:eastAsia="zh-CN"/>
              </w:rPr>
            </w:pPr>
            <w:r>
              <w:rPr>
                <w:rFonts w:ascii="Times New Roman" w:eastAsia="仿宋" w:hAnsi="Times New Roman"/>
                <w:sz w:val="24"/>
                <w:szCs w:val="28"/>
                <w:lang w:eastAsia="zh-CN"/>
              </w:rPr>
              <w:t>规模调整</w:t>
            </w:r>
          </w:p>
          <w:p w14:paraId="582C61FB" w14:textId="77777777" w:rsidR="009A7EF0" w:rsidRDefault="00000000">
            <w:pPr>
              <w:pStyle w:val="a3"/>
              <w:overflowPunct w:val="0"/>
              <w:adjustRightInd w:val="0"/>
              <w:snapToGrid w:val="0"/>
              <w:spacing w:line="480" w:lineRule="exact"/>
              <w:ind w:left="0"/>
              <w:jc w:val="center"/>
              <w:rPr>
                <w:rFonts w:ascii="Times New Roman" w:eastAsia="仿宋" w:hAnsi="Times New Roman"/>
                <w:sz w:val="24"/>
                <w:szCs w:val="28"/>
                <w:lang w:eastAsia="zh-CN"/>
              </w:rPr>
            </w:pPr>
            <w:r>
              <w:rPr>
                <w:rFonts w:ascii="Times New Roman" w:eastAsia="仿宋" w:hAnsi="Times New Roman"/>
                <w:sz w:val="24"/>
                <w:szCs w:val="28"/>
                <w:lang w:eastAsia="zh-CN"/>
              </w:rPr>
              <w:t>（加分，共</w:t>
            </w:r>
            <w:r>
              <w:rPr>
                <w:rFonts w:ascii="Times New Roman" w:eastAsia="仿宋" w:hAnsi="Times New Roman"/>
                <w:sz w:val="24"/>
                <w:szCs w:val="28"/>
                <w:lang w:eastAsia="zh-CN"/>
              </w:rPr>
              <w:t>10</w:t>
            </w:r>
            <w:r>
              <w:rPr>
                <w:rFonts w:ascii="Times New Roman" w:eastAsia="仿宋" w:hAnsi="Times New Roman"/>
                <w:sz w:val="24"/>
                <w:szCs w:val="28"/>
                <w:lang w:eastAsia="zh-CN"/>
              </w:rPr>
              <w:t>分）</w:t>
            </w:r>
          </w:p>
        </w:tc>
        <w:tc>
          <w:tcPr>
            <w:tcW w:w="3719" w:type="dxa"/>
            <w:vAlign w:val="center"/>
          </w:tcPr>
          <w:p w14:paraId="39B7B1B3" w14:textId="77777777" w:rsidR="009A7EF0" w:rsidRDefault="00000000">
            <w:pPr>
              <w:pStyle w:val="a3"/>
              <w:overflowPunct w:val="0"/>
              <w:adjustRightInd w:val="0"/>
              <w:snapToGrid w:val="0"/>
              <w:spacing w:line="480" w:lineRule="exact"/>
              <w:ind w:left="0"/>
              <w:jc w:val="center"/>
              <w:rPr>
                <w:rFonts w:ascii="Times New Roman" w:eastAsia="仿宋" w:hAnsi="Times New Roman"/>
                <w:sz w:val="24"/>
                <w:szCs w:val="28"/>
                <w:lang w:eastAsia="zh-CN"/>
              </w:rPr>
            </w:pPr>
            <w:r>
              <w:rPr>
                <w:rFonts w:ascii="Times New Roman" w:eastAsia="仿宋" w:hAnsi="Times New Roman"/>
                <w:sz w:val="24"/>
                <w:szCs w:val="28"/>
                <w:lang w:eastAsia="zh-CN"/>
              </w:rPr>
              <w:t>保荐项目数量（</w:t>
            </w:r>
            <w:r>
              <w:rPr>
                <w:rFonts w:ascii="Times New Roman" w:eastAsia="仿宋" w:hAnsi="Times New Roman"/>
                <w:sz w:val="24"/>
                <w:szCs w:val="28"/>
                <w:lang w:eastAsia="zh-CN"/>
              </w:rPr>
              <w:t>+</w:t>
            </w:r>
            <w:r>
              <w:rPr>
                <w:rFonts w:ascii="Times New Roman" w:eastAsia="仿宋" w:hAnsi="Times New Roman"/>
                <w:sz w:val="24"/>
                <w:szCs w:val="28"/>
                <w:lang w:eastAsia="zh-CN"/>
              </w:rPr>
              <w:t>）</w:t>
            </w:r>
            <w:r>
              <w:rPr>
                <w:rFonts w:ascii="Times New Roman" w:eastAsia="仿宋" w:hAnsi="Times New Roman" w:hint="eastAsia"/>
                <w:sz w:val="24"/>
                <w:szCs w:val="28"/>
                <w:lang w:eastAsia="zh-CN"/>
              </w:rPr>
              <w:t>（</w:t>
            </w:r>
            <w:r>
              <w:rPr>
                <w:rFonts w:ascii="Times New Roman" w:eastAsia="仿宋" w:hAnsi="Times New Roman" w:hint="eastAsia"/>
                <w:sz w:val="24"/>
                <w:szCs w:val="28"/>
                <w:lang w:eastAsia="zh-CN"/>
              </w:rPr>
              <w:t>1</w:t>
            </w:r>
            <w:r>
              <w:rPr>
                <w:rFonts w:ascii="Times New Roman" w:eastAsia="仿宋" w:hAnsi="Times New Roman"/>
                <w:sz w:val="24"/>
                <w:szCs w:val="28"/>
                <w:lang w:eastAsia="zh-CN"/>
              </w:rPr>
              <w:t>0</w:t>
            </w:r>
            <w:r>
              <w:rPr>
                <w:rFonts w:ascii="Times New Roman" w:eastAsia="仿宋" w:hAnsi="Times New Roman"/>
                <w:sz w:val="24"/>
                <w:szCs w:val="28"/>
                <w:lang w:eastAsia="zh-CN"/>
              </w:rPr>
              <w:t>分</w:t>
            </w:r>
            <w:r>
              <w:rPr>
                <w:rFonts w:ascii="Times New Roman" w:eastAsia="仿宋" w:hAnsi="Times New Roman" w:hint="eastAsia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3191" w:type="dxa"/>
            <w:vAlign w:val="center"/>
          </w:tcPr>
          <w:p w14:paraId="5728FFDC" w14:textId="77777777" w:rsidR="009A7EF0" w:rsidRDefault="00000000">
            <w:pPr>
              <w:pStyle w:val="a3"/>
              <w:overflowPunct w:val="0"/>
              <w:adjustRightInd w:val="0"/>
              <w:snapToGrid w:val="0"/>
              <w:spacing w:line="480" w:lineRule="exact"/>
              <w:ind w:left="0"/>
              <w:jc w:val="center"/>
              <w:rPr>
                <w:rFonts w:ascii="Times New Roman" w:eastAsia="仿宋" w:hAnsi="Times New Roman"/>
                <w:sz w:val="24"/>
                <w:szCs w:val="28"/>
                <w:lang w:eastAsia="zh-CN"/>
              </w:rPr>
            </w:pPr>
            <w:r>
              <w:rPr>
                <w:rFonts w:ascii="Times New Roman" w:eastAsia="仿宋" w:hAnsi="Times New Roman"/>
                <w:sz w:val="24"/>
                <w:szCs w:val="28"/>
                <w:lang w:eastAsia="zh-CN"/>
              </w:rPr>
              <w:t>10</w:t>
            </w:r>
            <w:r>
              <w:rPr>
                <w:rFonts w:ascii="Times New Roman" w:eastAsia="仿宋" w:hAnsi="Times New Roman"/>
                <w:sz w:val="24"/>
                <w:szCs w:val="28"/>
                <w:lang w:eastAsia="zh-CN"/>
              </w:rPr>
              <w:t>分</w:t>
            </w:r>
            <w:r>
              <w:rPr>
                <w:rFonts w:ascii="Times New Roman" w:eastAsia="仿宋" w:hAnsi="Times New Roman"/>
                <w:sz w:val="24"/>
                <w:szCs w:val="28"/>
                <w:lang w:eastAsia="zh-CN"/>
              </w:rPr>
              <w:t>*</w:t>
            </w:r>
            <w:r>
              <w:rPr>
                <w:rFonts w:ascii="Times New Roman" w:eastAsia="仿宋" w:hAnsi="Times New Roman"/>
                <w:sz w:val="24"/>
                <w:szCs w:val="28"/>
                <w:lang w:eastAsia="zh-CN"/>
              </w:rPr>
              <w:t>保荐项目数量</w:t>
            </w:r>
            <w:r>
              <w:rPr>
                <w:rFonts w:ascii="Times New Roman" w:eastAsia="仿宋" w:hAnsi="Times New Roman"/>
                <w:sz w:val="24"/>
                <w:szCs w:val="28"/>
                <w:lang w:eastAsia="zh-CN"/>
              </w:rPr>
              <w:t>/</w:t>
            </w:r>
            <w:r>
              <w:rPr>
                <w:rFonts w:ascii="Times New Roman" w:eastAsia="仿宋" w:hAnsi="Times New Roman"/>
                <w:sz w:val="24"/>
                <w:szCs w:val="28"/>
                <w:lang w:eastAsia="zh-CN"/>
              </w:rPr>
              <w:t>保荐项目数量最多的保荐机构保荐家数</w:t>
            </w:r>
          </w:p>
        </w:tc>
      </w:tr>
      <w:tr w:rsidR="009A7EF0" w14:paraId="322B18D0" w14:textId="77777777">
        <w:trPr>
          <w:trHeight w:val="689"/>
          <w:jc w:val="center"/>
        </w:trPr>
        <w:tc>
          <w:tcPr>
            <w:tcW w:w="1018" w:type="dxa"/>
            <w:vMerge/>
            <w:vAlign w:val="center"/>
          </w:tcPr>
          <w:p w14:paraId="3E1CB96F" w14:textId="77777777" w:rsidR="009A7EF0" w:rsidRDefault="009A7EF0">
            <w:pPr>
              <w:pStyle w:val="a3"/>
              <w:overflowPunct w:val="0"/>
              <w:adjustRightInd w:val="0"/>
              <w:snapToGrid w:val="0"/>
              <w:spacing w:line="480" w:lineRule="exact"/>
              <w:ind w:left="0"/>
              <w:jc w:val="center"/>
              <w:rPr>
                <w:rFonts w:ascii="Times New Roman" w:eastAsia="仿宋" w:hAnsi="Times New Roman"/>
                <w:sz w:val="24"/>
                <w:szCs w:val="28"/>
                <w:lang w:eastAsia="zh-CN"/>
              </w:rPr>
            </w:pPr>
          </w:p>
        </w:tc>
        <w:tc>
          <w:tcPr>
            <w:tcW w:w="1168" w:type="dxa"/>
            <w:vMerge/>
            <w:vAlign w:val="center"/>
          </w:tcPr>
          <w:p w14:paraId="6F029D28" w14:textId="77777777" w:rsidR="009A7EF0" w:rsidRDefault="009A7EF0">
            <w:pPr>
              <w:pStyle w:val="a3"/>
              <w:overflowPunct w:val="0"/>
              <w:adjustRightInd w:val="0"/>
              <w:snapToGrid w:val="0"/>
              <w:spacing w:line="480" w:lineRule="exact"/>
              <w:ind w:left="0"/>
              <w:jc w:val="center"/>
              <w:rPr>
                <w:rFonts w:ascii="Times New Roman" w:eastAsia="仿宋" w:hAnsi="Times New Roman"/>
                <w:sz w:val="24"/>
                <w:szCs w:val="28"/>
                <w:lang w:eastAsia="zh-CN"/>
              </w:rPr>
            </w:pPr>
          </w:p>
        </w:tc>
        <w:tc>
          <w:tcPr>
            <w:tcW w:w="2046" w:type="dxa"/>
            <w:vMerge w:val="restart"/>
            <w:vAlign w:val="center"/>
          </w:tcPr>
          <w:p w14:paraId="5253EC75" w14:textId="77777777" w:rsidR="009A7EF0" w:rsidRDefault="00000000">
            <w:pPr>
              <w:pStyle w:val="a3"/>
              <w:overflowPunct w:val="0"/>
              <w:adjustRightInd w:val="0"/>
              <w:snapToGrid w:val="0"/>
              <w:spacing w:line="480" w:lineRule="exact"/>
              <w:ind w:left="0"/>
              <w:jc w:val="center"/>
              <w:rPr>
                <w:rFonts w:ascii="Times New Roman" w:eastAsia="仿宋" w:hAnsi="Times New Roman"/>
                <w:sz w:val="24"/>
                <w:szCs w:val="28"/>
                <w:lang w:eastAsia="zh-CN"/>
              </w:rPr>
            </w:pPr>
            <w:r>
              <w:rPr>
                <w:rFonts w:ascii="Times New Roman" w:eastAsia="仿宋" w:hAnsi="Times New Roman"/>
                <w:sz w:val="24"/>
                <w:szCs w:val="28"/>
                <w:lang w:eastAsia="zh-CN"/>
              </w:rPr>
              <w:t>风险调整</w:t>
            </w:r>
          </w:p>
          <w:p w14:paraId="78A3381D" w14:textId="77777777" w:rsidR="009A7EF0" w:rsidRDefault="00000000">
            <w:pPr>
              <w:pStyle w:val="a3"/>
              <w:overflowPunct w:val="0"/>
              <w:adjustRightInd w:val="0"/>
              <w:snapToGrid w:val="0"/>
              <w:spacing w:line="480" w:lineRule="exact"/>
              <w:ind w:left="0"/>
              <w:jc w:val="center"/>
              <w:rPr>
                <w:rFonts w:ascii="Times New Roman" w:eastAsia="仿宋" w:hAnsi="Times New Roman"/>
                <w:sz w:val="24"/>
                <w:szCs w:val="28"/>
                <w:lang w:eastAsia="zh-CN"/>
              </w:rPr>
            </w:pPr>
            <w:r>
              <w:rPr>
                <w:rFonts w:ascii="Times New Roman" w:eastAsia="仿宋" w:hAnsi="Times New Roman"/>
                <w:sz w:val="24"/>
                <w:szCs w:val="28"/>
                <w:lang w:eastAsia="zh-CN"/>
              </w:rPr>
              <w:t>（减分，共</w:t>
            </w:r>
            <w:r>
              <w:rPr>
                <w:rFonts w:ascii="Times New Roman" w:eastAsia="仿宋" w:hAnsi="Times New Roman"/>
                <w:sz w:val="24"/>
                <w:szCs w:val="28"/>
                <w:lang w:eastAsia="zh-CN"/>
              </w:rPr>
              <w:t>30</w:t>
            </w:r>
            <w:r>
              <w:rPr>
                <w:rFonts w:ascii="Times New Roman" w:eastAsia="仿宋" w:hAnsi="Times New Roman"/>
                <w:sz w:val="24"/>
                <w:szCs w:val="28"/>
                <w:lang w:eastAsia="zh-CN"/>
              </w:rPr>
              <w:t>分）</w:t>
            </w:r>
          </w:p>
        </w:tc>
        <w:tc>
          <w:tcPr>
            <w:tcW w:w="3719" w:type="dxa"/>
            <w:vAlign w:val="center"/>
          </w:tcPr>
          <w:p w14:paraId="28ACBB27" w14:textId="77777777" w:rsidR="009A7EF0" w:rsidRDefault="00000000">
            <w:pPr>
              <w:pStyle w:val="a3"/>
              <w:overflowPunct w:val="0"/>
              <w:adjustRightInd w:val="0"/>
              <w:snapToGrid w:val="0"/>
              <w:spacing w:line="480" w:lineRule="exact"/>
              <w:ind w:left="0"/>
              <w:jc w:val="center"/>
              <w:rPr>
                <w:rFonts w:ascii="Times New Roman" w:eastAsia="仿宋" w:hAnsi="Times New Roman"/>
                <w:sz w:val="24"/>
                <w:szCs w:val="28"/>
                <w:lang w:eastAsia="zh-CN"/>
              </w:rPr>
            </w:pPr>
            <w:r>
              <w:rPr>
                <w:rFonts w:ascii="Times New Roman" w:eastAsia="仿宋" w:hAnsi="Times New Roman"/>
                <w:sz w:val="24"/>
                <w:szCs w:val="28"/>
                <w:lang w:eastAsia="zh-CN"/>
              </w:rPr>
              <w:t>风险警示公司占比（</w:t>
            </w:r>
            <w:r>
              <w:rPr>
                <w:rFonts w:ascii="Times New Roman" w:eastAsia="仿宋" w:hAnsi="Times New Roman"/>
                <w:sz w:val="24"/>
                <w:szCs w:val="28"/>
                <w:lang w:eastAsia="zh-CN"/>
              </w:rPr>
              <w:t>-</w:t>
            </w:r>
            <w:r>
              <w:rPr>
                <w:rFonts w:ascii="Times New Roman" w:eastAsia="仿宋" w:hAnsi="Times New Roman"/>
                <w:sz w:val="24"/>
                <w:szCs w:val="28"/>
                <w:lang w:eastAsia="zh-CN"/>
              </w:rPr>
              <w:t>）</w:t>
            </w:r>
            <w:r>
              <w:rPr>
                <w:rFonts w:ascii="Times New Roman" w:eastAsia="仿宋" w:hAnsi="Times New Roman" w:hint="eastAsia"/>
                <w:sz w:val="24"/>
                <w:szCs w:val="28"/>
                <w:lang w:eastAsia="zh-CN"/>
              </w:rPr>
              <w:t>（</w:t>
            </w:r>
            <w:r>
              <w:rPr>
                <w:rFonts w:ascii="Times New Roman" w:eastAsia="仿宋" w:hAnsi="Times New Roman" w:hint="eastAsia"/>
                <w:sz w:val="24"/>
                <w:szCs w:val="28"/>
                <w:lang w:eastAsia="zh-CN"/>
              </w:rPr>
              <w:t>1</w:t>
            </w:r>
            <w:r>
              <w:rPr>
                <w:rFonts w:ascii="Times New Roman" w:eastAsia="仿宋" w:hAnsi="Times New Roman"/>
                <w:sz w:val="24"/>
                <w:szCs w:val="28"/>
                <w:lang w:eastAsia="zh-CN"/>
              </w:rPr>
              <w:t>0</w:t>
            </w:r>
            <w:r>
              <w:rPr>
                <w:rFonts w:ascii="Times New Roman" w:eastAsia="仿宋" w:hAnsi="Times New Roman"/>
                <w:sz w:val="24"/>
                <w:szCs w:val="28"/>
                <w:lang w:eastAsia="zh-CN"/>
              </w:rPr>
              <w:t>分</w:t>
            </w:r>
            <w:r>
              <w:rPr>
                <w:rFonts w:ascii="Times New Roman" w:eastAsia="仿宋" w:hAnsi="Times New Roman" w:hint="eastAsia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3191" w:type="dxa"/>
            <w:vAlign w:val="center"/>
          </w:tcPr>
          <w:p w14:paraId="0594A282" w14:textId="77777777" w:rsidR="009A7EF0" w:rsidRDefault="00000000">
            <w:pPr>
              <w:pStyle w:val="a3"/>
              <w:overflowPunct w:val="0"/>
              <w:adjustRightInd w:val="0"/>
              <w:snapToGrid w:val="0"/>
              <w:spacing w:line="480" w:lineRule="exact"/>
              <w:ind w:left="0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仿宋" w:hAnsi="Times New Roman"/>
                <w:sz w:val="24"/>
                <w:szCs w:val="28"/>
              </w:rPr>
              <w:t>扣分：比例</w:t>
            </w:r>
            <w:proofErr w:type="spellEnd"/>
            <w:r>
              <w:rPr>
                <w:rFonts w:ascii="Times New Roman" w:eastAsia="仿宋" w:hAnsi="Times New Roman"/>
                <w:sz w:val="24"/>
                <w:szCs w:val="28"/>
              </w:rPr>
              <w:t>*10</w:t>
            </w:r>
            <w:r>
              <w:rPr>
                <w:rFonts w:ascii="Times New Roman" w:eastAsia="仿宋" w:hAnsi="Times New Roman"/>
                <w:sz w:val="24"/>
                <w:szCs w:val="28"/>
              </w:rPr>
              <w:t>分</w:t>
            </w:r>
          </w:p>
        </w:tc>
      </w:tr>
      <w:tr w:rsidR="009A7EF0" w14:paraId="5D0A8308" w14:textId="77777777">
        <w:trPr>
          <w:trHeight w:val="689"/>
          <w:jc w:val="center"/>
        </w:trPr>
        <w:tc>
          <w:tcPr>
            <w:tcW w:w="1018" w:type="dxa"/>
            <w:vMerge/>
            <w:vAlign w:val="center"/>
          </w:tcPr>
          <w:p w14:paraId="3A63B742" w14:textId="77777777" w:rsidR="009A7EF0" w:rsidRDefault="009A7EF0">
            <w:pPr>
              <w:pStyle w:val="a3"/>
              <w:overflowPunct w:val="0"/>
              <w:adjustRightInd w:val="0"/>
              <w:snapToGrid w:val="0"/>
              <w:spacing w:line="480" w:lineRule="exact"/>
              <w:ind w:left="0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</w:p>
        </w:tc>
        <w:tc>
          <w:tcPr>
            <w:tcW w:w="1168" w:type="dxa"/>
            <w:vMerge/>
            <w:vAlign w:val="center"/>
          </w:tcPr>
          <w:p w14:paraId="1E7A34B2" w14:textId="77777777" w:rsidR="009A7EF0" w:rsidRDefault="009A7EF0">
            <w:pPr>
              <w:pStyle w:val="a3"/>
              <w:overflowPunct w:val="0"/>
              <w:adjustRightInd w:val="0"/>
              <w:snapToGrid w:val="0"/>
              <w:spacing w:line="480" w:lineRule="exact"/>
              <w:ind w:left="0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</w:p>
        </w:tc>
        <w:tc>
          <w:tcPr>
            <w:tcW w:w="2046" w:type="dxa"/>
            <w:vMerge/>
            <w:vAlign w:val="center"/>
          </w:tcPr>
          <w:p w14:paraId="514462B6" w14:textId="77777777" w:rsidR="009A7EF0" w:rsidRDefault="009A7EF0">
            <w:pPr>
              <w:pStyle w:val="a3"/>
              <w:overflowPunct w:val="0"/>
              <w:adjustRightInd w:val="0"/>
              <w:snapToGrid w:val="0"/>
              <w:spacing w:line="480" w:lineRule="exact"/>
              <w:ind w:left="0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</w:p>
        </w:tc>
        <w:tc>
          <w:tcPr>
            <w:tcW w:w="3719" w:type="dxa"/>
            <w:vAlign w:val="center"/>
          </w:tcPr>
          <w:p w14:paraId="478BB5FC" w14:textId="77777777" w:rsidR="009A7EF0" w:rsidRDefault="00000000">
            <w:pPr>
              <w:pStyle w:val="a3"/>
              <w:overflowPunct w:val="0"/>
              <w:adjustRightInd w:val="0"/>
              <w:snapToGrid w:val="0"/>
              <w:spacing w:line="480" w:lineRule="exact"/>
              <w:ind w:left="0"/>
              <w:jc w:val="center"/>
              <w:rPr>
                <w:rFonts w:ascii="Times New Roman" w:eastAsia="仿宋" w:hAnsi="Times New Roman"/>
                <w:sz w:val="24"/>
                <w:szCs w:val="28"/>
                <w:lang w:eastAsia="zh-CN"/>
              </w:rPr>
            </w:pPr>
            <w:r>
              <w:rPr>
                <w:rFonts w:ascii="Times New Roman" w:eastAsia="仿宋" w:hAnsi="Times New Roman"/>
                <w:sz w:val="24"/>
                <w:szCs w:val="28"/>
                <w:lang w:eastAsia="zh-CN"/>
              </w:rPr>
              <w:t>强制退市公司占比（</w:t>
            </w:r>
            <w:r>
              <w:rPr>
                <w:rFonts w:ascii="Times New Roman" w:eastAsia="仿宋" w:hAnsi="Times New Roman"/>
                <w:sz w:val="24"/>
                <w:szCs w:val="28"/>
                <w:lang w:eastAsia="zh-CN"/>
              </w:rPr>
              <w:t>-</w:t>
            </w:r>
            <w:r>
              <w:rPr>
                <w:rFonts w:ascii="Times New Roman" w:eastAsia="仿宋" w:hAnsi="Times New Roman"/>
                <w:sz w:val="24"/>
                <w:szCs w:val="28"/>
                <w:lang w:eastAsia="zh-CN"/>
              </w:rPr>
              <w:t>）</w:t>
            </w:r>
            <w:r>
              <w:rPr>
                <w:rFonts w:ascii="Times New Roman" w:eastAsia="仿宋" w:hAnsi="Times New Roman" w:hint="eastAsia"/>
                <w:sz w:val="24"/>
                <w:szCs w:val="28"/>
                <w:lang w:eastAsia="zh-CN"/>
              </w:rPr>
              <w:t>（</w:t>
            </w:r>
            <w:r>
              <w:rPr>
                <w:rFonts w:ascii="Times New Roman" w:eastAsia="仿宋" w:hAnsi="Times New Roman" w:hint="eastAsia"/>
                <w:sz w:val="24"/>
                <w:szCs w:val="28"/>
                <w:lang w:eastAsia="zh-CN"/>
              </w:rPr>
              <w:t>2</w:t>
            </w:r>
            <w:r>
              <w:rPr>
                <w:rFonts w:ascii="Times New Roman" w:eastAsia="仿宋" w:hAnsi="Times New Roman"/>
                <w:sz w:val="24"/>
                <w:szCs w:val="28"/>
                <w:lang w:eastAsia="zh-CN"/>
              </w:rPr>
              <w:t>0</w:t>
            </w:r>
            <w:r>
              <w:rPr>
                <w:rFonts w:ascii="Times New Roman" w:eastAsia="仿宋" w:hAnsi="Times New Roman"/>
                <w:sz w:val="24"/>
                <w:szCs w:val="28"/>
                <w:lang w:eastAsia="zh-CN"/>
              </w:rPr>
              <w:t>分</w:t>
            </w:r>
            <w:r>
              <w:rPr>
                <w:rFonts w:ascii="Times New Roman" w:eastAsia="仿宋" w:hAnsi="Times New Roman" w:hint="eastAsia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3191" w:type="dxa"/>
            <w:vAlign w:val="center"/>
          </w:tcPr>
          <w:p w14:paraId="55D16487" w14:textId="77777777" w:rsidR="009A7EF0" w:rsidRDefault="00000000">
            <w:pPr>
              <w:pStyle w:val="a3"/>
              <w:overflowPunct w:val="0"/>
              <w:adjustRightInd w:val="0"/>
              <w:snapToGrid w:val="0"/>
              <w:spacing w:line="480" w:lineRule="exact"/>
              <w:ind w:left="0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仿宋" w:hAnsi="Times New Roman"/>
                <w:sz w:val="24"/>
                <w:szCs w:val="28"/>
              </w:rPr>
              <w:t>扣分：比例</w:t>
            </w:r>
            <w:proofErr w:type="spellEnd"/>
            <w:r>
              <w:rPr>
                <w:rFonts w:ascii="Times New Roman" w:eastAsia="仿宋" w:hAnsi="Times New Roman"/>
                <w:sz w:val="24"/>
                <w:szCs w:val="28"/>
              </w:rPr>
              <w:t>*20</w:t>
            </w:r>
            <w:r>
              <w:rPr>
                <w:rFonts w:ascii="Times New Roman" w:eastAsia="仿宋" w:hAnsi="Times New Roman"/>
                <w:sz w:val="24"/>
                <w:szCs w:val="28"/>
              </w:rPr>
              <w:t>分</w:t>
            </w:r>
          </w:p>
        </w:tc>
      </w:tr>
      <w:tr w:rsidR="009A7EF0" w14:paraId="36C8F2D9" w14:textId="77777777">
        <w:trPr>
          <w:trHeight w:val="689"/>
          <w:jc w:val="center"/>
        </w:trPr>
        <w:tc>
          <w:tcPr>
            <w:tcW w:w="1018" w:type="dxa"/>
            <w:vMerge/>
            <w:vAlign w:val="center"/>
          </w:tcPr>
          <w:p w14:paraId="7751AAA3" w14:textId="77777777" w:rsidR="009A7EF0" w:rsidRDefault="009A7EF0">
            <w:pPr>
              <w:pStyle w:val="a3"/>
              <w:overflowPunct w:val="0"/>
              <w:adjustRightInd w:val="0"/>
              <w:snapToGrid w:val="0"/>
              <w:spacing w:line="480" w:lineRule="exact"/>
              <w:ind w:left="0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</w:p>
        </w:tc>
        <w:tc>
          <w:tcPr>
            <w:tcW w:w="1168" w:type="dxa"/>
            <w:vMerge/>
            <w:vAlign w:val="center"/>
          </w:tcPr>
          <w:p w14:paraId="130C1C2A" w14:textId="77777777" w:rsidR="009A7EF0" w:rsidRDefault="009A7EF0">
            <w:pPr>
              <w:pStyle w:val="a3"/>
              <w:overflowPunct w:val="0"/>
              <w:adjustRightInd w:val="0"/>
              <w:snapToGrid w:val="0"/>
              <w:spacing w:line="480" w:lineRule="exact"/>
              <w:ind w:left="0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</w:p>
        </w:tc>
        <w:tc>
          <w:tcPr>
            <w:tcW w:w="2046" w:type="dxa"/>
            <w:vAlign w:val="center"/>
          </w:tcPr>
          <w:p w14:paraId="52A12EEE" w14:textId="77777777" w:rsidR="009A7EF0" w:rsidRDefault="00000000">
            <w:pPr>
              <w:pStyle w:val="a3"/>
              <w:overflowPunct w:val="0"/>
              <w:adjustRightInd w:val="0"/>
              <w:snapToGrid w:val="0"/>
              <w:spacing w:line="480" w:lineRule="exact"/>
              <w:ind w:left="0"/>
              <w:jc w:val="center"/>
              <w:rPr>
                <w:rFonts w:ascii="Times New Roman" w:eastAsia="仿宋" w:hAnsi="Times New Roman"/>
                <w:sz w:val="24"/>
                <w:szCs w:val="28"/>
                <w:lang w:eastAsia="zh-CN"/>
              </w:rPr>
            </w:pPr>
            <w:r>
              <w:rPr>
                <w:rFonts w:ascii="Times New Roman" w:eastAsia="仿宋" w:hAnsi="Times New Roman"/>
                <w:sz w:val="24"/>
                <w:szCs w:val="28"/>
                <w:lang w:eastAsia="zh-CN"/>
              </w:rPr>
              <w:t>降档调整</w:t>
            </w:r>
          </w:p>
          <w:p w14:paraId="0C9238BB" w14:textId="77777777" w:rsidR="009A7EF0" w:rsidRDefault="00000000">
            <w:pPr>
              <w:pStyle w:val="a3"/>
              <w:overflowPunct w:val="0"/>
              <w:adjustRightInd w:val="0"/>
              <w:snapToGrid w:val="0"/>
              <w:spacing w:line="480" w:lineRule="exact"/>
              <w:ind w:left="0"/>
              <w:jc w:val="center"/>
              <w:rPr>
                <w:rFonts w:ascii="Times New Roman" w:eastAsia="仿宋" w:hAnsi="Times New Roman"/>
                <w:sz w:val="24"/>
                <w:szCs w:val="28"/>
                <w:lang w:eastAsia="zh-CN"/>
              </w:rPr>
            </w:pPr>
            <w:r>
              <w:rPr>
                <w:rFonts w:ascii="Times New Roman" w:eastAsia="仿宋" w:hAnsi="Times New Roman" w:hint="eastAsia"/>
                <w:sz w:val="24"/>
                <w:szCs w:val="28"/>
                <w:lang w:eastAsia="zh-CN"/>
              </w:rPr>
              <w:t>（减分，共</w:t>
            </w:r>
            <w:r>
              <w:rPr>
                <w:rFonts w:ascii="Times New Roman" w:eastAsia="仿宋" w:hAnsi="Times New Roman" w:hint="eastAsia"/>
                <w:sz w:val="24"/>
                <w:szCs w:val="28"/>
                <w:lang w:eastAsia="zh-CN"/>
              </w:rPr>
              <w:t>1</w:t>
            </w:r>
            <w:r>
              <w:rPr>
                <w:rFonts w:ascii="Times New Roman" w:eastAsia="仿宋" w:hAnsi="Times New Roman"/>
                <w:sz w:val="24"/>
                <w:szCs w:val="28"/>
                <w:lang w:eastAsia="zh-CN"/>
              </w:rPr>
              <w:t>0</w:t>
            </w:r>
            <w:r>
              <w:rPr>
                <w:rFonts w:ascii="Times New Roman" w:eastAsia="仿宋" w:hAnsi="Times New Roman"/>
                <w:sz w:val="24"/>
                <w:szCs w:val="28"/>
                <w:lang w:eastAsia="zh-CN"/>
              </w:rPr>
              <w:t>分</w:t>
            </w:r>
            <w:r>
              <w:rPr>
                <w:rFonts w:ascii="Times New Roman" w:eastAsia="仿宋" w:hAnsi="Times New Roman" w:hint="eastAsia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3719" w:type="dxa"/>
            <w:vAlign w:val="center"/>
          </w:tcPr>
          <w:p w14:paraId="6097105C" w14:textId="77777777" w:rsidR="009A7EF0" w:rsidRDefault="00000000">
            <w:pPr>
              <w:pStyle w:val="a3"/>
              <w:overflowPunct w:val="0"/>
              <w:adjustRightInd w:val="0"/>
              <w:snapToGrid w:val="0"/>
              <w:spacing w:line="480" w:lineRule="exact"/>
              <w:ind w:left="0"/>
              <w:jc w:val="center"/>
              <w:rPr>
                <w:rFonts w:ascii="Times New Roman" w:eastAsia="仿宋" w:hAnsi="Times New Roman"/>
                <w:sz w:val="24"/>
                <w:szCs w:val="28"/>
                <w:lang w:eastAsia="zh-CN"/>
              </w:rPr>
            </w:pPr>
            <w:r>
              <w:rPr>
                <w:rFonts w:ascii="Times New Roman" w:eastAsia="仿宋" w:hAnsi="Times New Roman"/>
                <w:sz w:val="24"/>
                <w:szCs w:val="28"/>
                <w:lang w:eastAsia="zh-CN"/>
              </w:rPr>
              <w:t>重大执业质量问题（</w:t>
            </w:r>
            <w:r>
              <w:rPr>
                <w:rFonts w:ascii="Times New Roman" w:eastAsia="仿宋" w:hAnsi="Times New Roman"/>
                <w:sz w:val="24"/>
                <w:szCs w:val="28"/>
                <w:lang w:eastAsia="zh-CN"/>
              </w:rPr>
              <w:t>-</w:t>
            </w:r>
            <w:r>
              <w:rPr>
                <w:rFonts w:ascii="Times New Roman" w:eastAsia="仿宋" w:hAnsi="Times New Roman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3191" w:type="dxa"/>
            <w:vAlign w:val="center"/>
          </w:tcPr>
          <w:p w14:paraId="1E5B7CA1" w14:textId="77777777" w:rsidR="009A7EF0" w:rsidRDefault="00000000">
            <w:pPr>
              <w:pStyle w:val="a3"/>
              <w:overflowPunct w:val="0"/>
              <w:adjustRightInd w:val="0"/>
              <w:snapToGrid w:val="0"/>
              <w:spacing w:line="480" w:lineRule="exact"/>
              <w:ind w:left="0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>
              <w:rPr>
                <w:rFonts w:ascii="Times New Roman" w:eastAsia="仿宋" w:hAnsi="Times New Roman" w:hint="eastAsia"/>
                <w:sz w:val="24"/>
                <w:szCs w:val="28"/>
              </w:rPr>
              <w:t>扣分：</w:t>
            </w:r>
            <w:r>
              <w:rPr>
                <w:rFonts w:ascii="Times New Roman" w:eastAsia="仿宋" w:hAnsi="Times New Roman" w:hint="eastAsia"/>
                <w:sz w:val="24"/>
                <w:szCs w:val="28"/>
              </w:rPr>
              <w:t>1</w:t>
            </w:r>
            <w:r>
              <w:rPr>
                <w:rFonts w:ascii="Times New Roman" w:eastAsia="仿宋" w:hAnsi="Times New Roman"/>
                <w:sz w:val="24"/>
                <w:szCs w:val="28"/>
              </w:rPr>
              <w:t>0</w:t>
            </w:r>
            <w:r>
              <w:rPr>
                <w:rFonts w:ascii="Times New Roman" w:eastAsia="仿宋" w:hAnsi="Times New Roman"/>
                <w:sz w:val="24"/>
                <w:szCs w:val="28"/>
              </w:rPr>
              <w:t>分</w:t>
            </w:r>
          </w:p>
        </w:tc>
      </w:tr>
    </w:tbl>
    <w:p w14:paraId="4618F021" w14:textId="77777777" w:rsidR="009A7EF0" w:rsidRDefault="009A7EF0" w:rsidP="00D532BC">
      <w:pPr>
        <w:pStyle w:val="a3"/>
        <w:overflowPunct w:val="0"/>
        <w:adjustRightInd w:val="0"/>
        <w:snapToGrid w:val="0"/>
        <w:spacing w:line="600" w:lineRule="exact"/>
        <w:ind w:left="0"/>
        <w:jc w:val="both"/>
        <w:rPr>
          <w:rFonts w:ascii="Times New Roman" w:eastAsia="仿宋" w:hAnsi="Times New Roman" w:hint="eastAsia"/>
          <w:sz w:val="32"/>
          <w:szCs w:val="32"/>
        </w:rPr>
      </w:pPr>
    </w:p>
    <w:sectPr w:rsidR="009A7EF0">
      <w:footerReference w:type="even" r:id="rId7"/>
      <w:footerReference w:type="default" r:id="rId8"/>
      <w:pgSz w:w="11906" w:h="16838"/>
      <w:pgMar w:top="2098" w:right="1588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D6275" w14:textId="77777777" w:rsidR="006672DC" w:rsidRDefault="006672D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8416230" w14:textId="77777777" w:rsidR="006672DC" w:rsidRDefault="006672D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EastAsia" w:eastAsiaTheme="minorEastAsia" w:hAnsiTheme="minorEastAsia"/>
      </w:rPr>
      <w:id w:val="-1093851077"/>
    </w:sdtPr>
    <w:sdtEndPr>
      <w:rPr>
        <w:rFonts w:cs="Times New Roman"/>
        <w:sz w:val="28"/>
      </w:rPr>
    </w:sdtEndPr>
    <w:sdtContent>
      <w:p w14:paraId="2A34A47A" w14:textId="77777777" w:rsidR="009A7EF0" w:rsidRDefault="00000000">
        <w:pPr>
          <w:pStyle w:val="a7"/>
          <w:rPr>
            <w:rFonts w:asciiTheme="minorEastAsia" w:eastAsiaTheme="minorEastAsia" w:hAnsiTheme="minorEastAsia" w:cs="Times New Roman" w:hint="eastAsia"/>
            <w:sz w:val="28"/>
          </w:rPr>
        </w:pPr>
        <w:r>
          <w:rPr>
            <w:rFonts w:asciiTheme="minorEastAsia" w:eastAsiaTheme="minorEastAsia" w:hAnsiTheme="minorEastAsia" w:cs="Times New Roman"/>
            <w:sz w:val="28"/>
          </w:rPr>
          <w:fldChar w:fldCharType="begin"/>
        </w:r>
        <w:r>
          <w:rPr>
            <w:rFonts w:asciiTheme="minorEastAsia" w:eastAsiaTheme="minorEastAsia" w:hAnsiTheme="minorEastAsia" w:cs="Times New Roman"/>
            <w:sz w:val="28"/>
          </w:rPr>
          <w:instrText>PAGE   \* MERGEFORMAT</w:instrText>
        </w:r>
        <w:r>
          <w:rPr>
            <w:rFonts w:asciiTheme="minorEastAsia" w:eastAsiaTheme="minorEastAsia" w:hAnsiTheme="minorEastAsia" w:cs="Times New Roman"/>
            <w:sz w:val="28"/>
          </w:rPr>
          <w:fldChar w:fldCharType="separate"/>
        </w:r>
        <w:r>
          <w:rPr>
            <w:rFonts w:asciiTheme="minorEastAsia" w:eastAsiaTheme="minorEastAsia" w:hAnsiTheme="minorEastAsia" w:cs="Times New Roman"/>
            <w:sz w:val="28"/>
            <w:lang w:val="zh-CN"/>
          </w:rPr>
          <w:t>-</w:t>
        </w:r>
        <w:r>
          <w:rPr>
            <w:rFonts w:asciiTheme="minorEastAsia" w:eastAsiaTheme="minorEastAsia" w:hAnsiTheme="minorEastAsia" w:cs="Times New Roman"/>
            <w:sz w:val="28"/>
          </w:rPr>
          <w:t xml:space="preserve"> 12 -</w:t>
        </w:r>
        <w:r>
          <w:rPr>
            <w:rFonts w:asciiTheme="minorEastAsia" w:eastAsiaTheme="minorEastAsia" w:hAnsiTheme="minorEastAsia" w:cs="Times New Roman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5362881"/>
    </w:sdtPr>
    <w:sdtEndPr>
      <w:rPr>
        <w:rFonts w:asciiTheme="minorEastAsia" w:eastAsiaTheme="minorEastAsia" w:hAnsiTheme="minorEastAsia" w:cs="Times New Roman"/>
        <w:sz w:val="28"/>
      </w:rPr>
    </w:sdtEndPr>
    <w:sdtContent>
      <w:p w14:paraId="6F6FC4BB" w14:textId="77777777" w:rsidR="009A7EF0" w:rsidRDefault="00000000">
        <w:pPr>
          <w:pStyle w:val="a7"/>
          <w:jc w:val="right"/>
          <w:rPr>
            <w:rFonts w:asciiTheme="minorEastAsia" w:eastAsiaTheme="minorEastAsia" w:hAnsiTheme="minorEastAsia" w:cs="Times New Roman" w:hint="eastAsia"/>
            <w:sz w:val="28"/>
          </w:rPr>
        </w:pPr>
        <w:r>
          <w:rPr>
            <w:rFonts w:asciiTheme="minorEastAsia" w:eastAsiaTheme="minorEastAsia" w:hAnsiTheme="minorEastAsia" w:cs="Times New Roman"/>
            <w:sz w:val="28"/>
          </w:rPr>
          <w:fldChar w:fldCharType="begin"/>
        </w:r>
        <w:r>
          <w:rPr>
            <w:rFonts w:asciiTheme="minorEastAsia" w:eastAsiaTheme="minorEastAsia" w:hAnsiTheme="minorEastAsia" w:cs="Times New Roman"/>
            <w:sz w:val="28"/>
          </w:rPr>
          <w:instrText>PAGE   \* MERGEFORMAT</w:instrText>
        </w:r>
        <w:r>
          <w:rPr>
            <w:rFonts w:asciiTheme="minorEastAsia" w:eastAsiaTheme="minorEastAsia" w:hAnsiTheme="minorEastAsia" w:cs="Times New Roman"/>
            <w:sz w:val="28"/>
          </w:rPr>
          <w:fldChar w:fldCharType="separate"/>
        </w:r>
        <w:r>
          <w:rPr>
            <w:rFonts w:asciiTheme="minorEastAsia" w:eastAsiaTheme="minorEastAsia" w:hAnsiTheme="minorEastAsia" w:cs="Times New Roman"/>
            <w:sz w:val="28"/>
            <w:lang w:val="zh-CN"/>
          </w:rPr>
          <w:t>-</w:t>
        </w:r>
        <w:r>
          <w:rPr>
            <w:rFonts w:asciiTheme="minorEastAsia" w:eastAsiaTheme="minorEastAsia" w:hAnsiTheme="minorEastAsia" w:cs="Times New Roman"/>
            <w:sz w:val="28"/>
          </w:rPr>
          <w:t xml:space="preserve"> 13 -</w:t>
        </w:r>
        <w:r>
          <w:rPr>
            <w:rFonts w:asciiTheme="minorEastAsia" w:eastAsiaTheme="minorEastAsia" w:hAnsiTheme="minorEastAsia" w:cs="Times New Roman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B0A41" w14:textId="77777777" w:rsidR="006672DC" w:rsidRDefault="006672D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4C4A132" w14:textId="77777777" w:rsidR="006672DC" w:rsidRDefault="006672D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8A7"/>
    <w:rsid w:val="86FD6C47"/>
    <w:rsid w:val="93FB9BEF"/>
    <w:rsid w:val="BAFD6F29"/>
    <w:rsid w:val="BEABA443"/>
    <w:rsid w:val="D7EDB90E"/>
    <w:rsid w:val="D9EBBE9B"/>
    <w:rsid w:val="E31B7D22"/>
    <w:rsid w:val="EDFFE8E8"/>
    <w:rsid w:val="F337B9D1"/>
    <w:rsid w:val="FBC7C2F7"/>
    <w:rsid w:val="FC6FED81"/>
    <w:rsid w:val="FDB30505"/>
    <w:rsid w:val="FFA93F0F"/>
    <w:rsid w:val="FFBF19E6"/>
    <w:rsid w:val="FFFBB892"/>
    <w:rsid w:val="00003088"/>
    <w:rsid w:val="00010A9A"/>
    <w:rsid w:val="0001608D"/>
    <w:rsid w:val="000216DC"/>
    <w:rsid w:val="00025945"/>
    <w:rsid w:val="000320C5"/>
    <w:rsid w:val="0003446A"/>
    <w:rsid w:val="000356B6"/>
    <w:rsid w:val="00035EF8"/>
    <w:rsid w:val="00040A47"/>
    <w:rsid w:val="00044134"/>
    <w:rsid w:val="00051072"/>
    <w:rsid w:val="00052628"/>
    <w:rsid w:val="00055AFB"/>
    <w:rsid w:val="000569C6"/>
    <w:rsid w:val="00057885"/>
    <w:rsid w:val="00062C56"/>
    <w:rsid w:val="000726D0"/>
    <w:rsid w:val="00074C60"/>
    <w:rsid w:val="000761C6"/>
    <w:rsid w:val="00076778"/>
    <w:rsid w:val="0008532B"/>
    <w:rsid w:val="000944CE"/>
    <w:rsid w:val="000A45B4"/>
    <w:rsid w:val="000C2729"/>
    <w:rsid w:val="000E1784"/>
    <w:rsid w:val="000E2FCA"/>
    <w:rsid w:val="000E7534"/>
    <w:rsid w:val="000F4940"/>
    <w:rsid w:val="000F79FB"/>
    <w:rsid w:val="000F7AC9"/>
    <w:rsid w:val="00107858"/>
    <w:rsid w:val="00115222"/>
    <w:rsid w:val="0011610C"/>
    <w:rsid w:val="0012037B"/>
    <w:rsid w:val="00120893"/>
    <w:rsid w:val="00130DDC"/>
    <w:rsid w:val="00134F01"/>
    <w:rsid w:val="001420A5"/>
    <w:rsid w:val="00143D4F"/>
    <w:rsid w:val="001460F3"/>
    <w:rsid w:val="001467E5"/>
    <w:rsid w:val="00153240"/>
    <w:rsid w:val="00157E1D"/>
    <w:rsid w:val="0017002E"/>
    <w:rsid w:val="00170B7D"/>
    <w:rsid w:val="00171467"/>
    <w:rsid w:val="00181A62"/>
    <w:rsid w:val="0018576D"/>
    <w:rsid w:val="001876FD"/>
    <w:rsid w:val="001957FC"/>
    <w:rsid w:val="001A0AD4"/>
    <w:rsid w:val="001A3B18"/>
    <w:rsid w:val="001A3C1C"/>
    <w:rsid w:val="001A621D"/>
    <w:rsid w:val="001B0F8C"/>
    <w:rsid w:val="001C020C"/>
    <w:rsid w:val="001C3A8F"/>
    <w:rsid w:val="001C4EEA"/>
    <w:rsid w:val="001C58B0"/>
    <w:rsid w:val="001D0681"/>
    <w:rsid w:val="001D4843"/>
    <w:rsid w:val="001E50EA"/>
    <w:rsid w:val="001E5747"/>
    <w:rsid w:val="001E58BC"/>
    <w:rsid w:val="001F068D"/>
    <w:rsid w:val="001F6A2F"/>
    <w:rsid w:val="002035EB"/>
    <w:rsid w:val="0020592E"/>
    <w:rsid w:val="0020735C"/>
    <w:rsid w:val="002077EB"/>
    <w:rsid w:val="00211FAC"/>
    <w:rsid w:val="00221F07"/>
    <w:rsid w:val="00222384"/>
    <w:rsid w:val="002250F0"/>
    <w:rsid w:val="0022759C"/>
    <w:rsid w:val="00234EEE"/>
    <w:rsid w:val="00243442"/>
    <w:rsid w:val="00254CF0"/>
    <w:rsid w:val="00265C2B"/>
    <w:rsid w:val="00286237"/>
    <w:rsid w:val="00290DD4"/>
    <w:rsid w:val="00295D85"/>
    <w:rsid w:val="002A3A57"/>
    <w:rsid w:val="002A7AB7"/>
    <w:rsid w:val="002B3DDE"/>
    <w:rsid w:val="002C0975"/>
    <w:rsid w:val="002C0C05"/>
    <w:rsid w:val="002C5FA7"/>
    <w:rsid w:val="002C68FA"/>
    <w:rsid w:val="002D0FF1"/>
    <w:rsid w:val="002D3165"/>
    <w:rsid w:val="002E207A"/>
    <w:rsid w:val="002E3E65"/>
    <w:rsid w:val="002E52FB"/>
    <w:rsid w:val="002F68B9"/>
    <w:rsid w:val="00302B5A"/>
    <w:rsid w:val="00303FD3"/>
    <w:rsid w:val="00306609"/>
    <w:rsid w:val="003169D2"/>
    <w:rsid w:val="00317892"/>
    <w:rsid w:val="003258F4"/>
    <w:rsid w:val="00332B45"/>
    <w:rsid w:val="00336830"/>
    <w:rsid w:val="00341EB4"/>
    <w:rsid w:val="00345518"/>
    <w:rsid w:val="00346817"/>
    <w:rsid w:val="003511E6"/>
    <w:rsid w:val="00352748"/>
    <w:rsid w:val="00360AB4"/>
    <w:rsid w:val="003667C5"/>
    <w:rsid w:val="00367421"/>
    <w:rsid w:val="00371FC4"/>
    <w:rsid w:val="0038326B"/>
    <w:rsid w:val="00393DE6"/>
    <w:rsid w:val="0039416D"/>
    <w:rsid w:val="00396D48"/>
    <w:rsid w:val="003A41E8"/>
    <w:rsid w:val="003A4283"/>
    <w:rsid w:val="003A7D0F"/>
    <w:rsid w:val="003B41C4"/>
    <w:rsid w:val="003B4C48"/>
    <w:rsid w:val="003B5C41"/>
    <w:rsid w:val="003C40D5"/>
    <w:rsid w:val="003D3265"/>
    <w:rsid w:val="003E630B"/>
    <w:rsid w:val="003F0769"/>
    <w:rsid w:val="00404FC1"/>
    <w:rsid w:val="004056FF"/>
    <w:rsid w:val="004108BF"/>
    <w:rsid w:val="00411018"/>
    <w:rsid w:val="00412048"/>
    <w:rsid w:val="004168F5"/>
    <w:rsid w:val="00416938"/>
    <w:rsid w:val="0043366E"/>
    <w:rsid w:val="00445913"/>
    <w:rsid w:val="00447149"/>
    <w:rsid w:val="004507C1"/>
    <w:rsid w:val="0045529C"/>
    <w:rsid w:val="004637A1"/>
    <w:rsid w:val="00463D26"/>
    <w:rsid w:val="004642C2"/>
    <w:rsid w:val="004719EC"/>
    <w:rsid w:val="00474529"/>
    <w:rsid w:val="00485773"/>
    <w:rsid w:val="00485A0F"/>
    <w:rsid w:val="00490D4C"/>
    <w:rsid w:val="00491C77"/>
    <w:rsid w:val="004A40F5"/>
    <w:rsid w:val="004B1DFF"/>
    <w:rsid w:val="004C0C9F"/>
    <w:rsid w:val="004C5641"/>
    <w:rsid w:val="004D06DC"/>
    <w:rsid w:val="004D07B7"/>
    <w:rsid w:val="004E7333"/>
    <w:rsid w:val="004E767F"/>
    <w:rsid w:val="004F09DE"/>
    <w:rsid w:val="004F312B"/>
    <w:rsid w:val="004F32CD"/>
    <w:rsid w:val="00503612"/>
    <w:rsid w:val="005123FC"/>
    <w:rsid w:val="00517F6F"/>
    <w:rsid w:val="005201F6"/>
    <w:rsid w:val="0052650E"/>
    <w:rsid w:val="0053276B"/>
    <w:rsid w:val="00541C70"/>
    <w:rsid w:val="005423EC"/>
    <w:rsid w:val="0054677E"/>
    <w:rsid w:val="00547C4C"/>
    <w:rsid w:val="00547DB6"/>
    <w:rsid w:val="00551A12"/>
    <w:rsid w:val="00551A16"/>
    <w:rsid w:val="00551B76"/>
    <w:rsid w:val="00552258"/>
    <w:rsid w:val="00554E85"/>
    <w:rsid w:val="00565AEB"/>
    <w:rsid w:val="00572B7C"/>
    <w:rsid w:val="00574212"/>
    <w:rsid w:val="00575CA2"/>
    <w:rsid w:val="005765BC"/>
    <w:rsid w:val="0057767D"/>
    <w:rsid w:val="00583134"/>
    <w:rsid w:val="005839C7"/>
    <w:rsid w:val="0058488D"/>
    <w:rsid w:val="00585F16"/>
    <w:rsid w:val="00586852"/>
    <w:rsid w:val="00587986"/>
    <w:rsid w:val="00592993"/>
    <w:rsid w:val="00596A36"/>
    <w:rsid w:val="00597133"/>
    <w:rsid w:val="005977AA"/>
    <w:rsid w:val="005A3731"/>
    <w:rsid w:val="005B1286"/>
    <w:rsid w:val="005B1372"/>
    <w:rsid w:val="005B451B"/>
    <w:rsid w:val="005B5D65"/>
    <w:rsid w:val="005B7C45"/>
    <w:rsid w:val="005C1075"/>
    <w:rsid w:val="005C3B37"/>
    <w:rsid w:val="005E0308"/>
    <w:rsid w:val="005E11BA"/>
    <w:rsid w:val="005E395A"/>
    <w:rsid w:val="005E3E68"/>
    <w:rsid w:val="005F0117"/>
    <w:rsid w:val="005F24BA"/>
    <w:rsid w:val="005F2836"/>
    <w:rsid w:val="005F3D09"/>
    <w:rsid w:val="005F6259"/>
    <w:rsid w:val="00604951"/>
    <w:rsid w:val="006061A8"/>
    <w:rsid w:val="006213AD"/>
    <w:rsid w:val="00621C55"/>
    <w:rsid w:val="006249E0"/>
    <w:rsid w:val="00626C9D"/>
    <w:rsid w:val="00641586"/>
    <w:rsid w:val="006601CA"/>
    <w:rsid w:val="006672DC"/>
    <w:rsid w:val="00675381"/>
    <w:rsid w:val="00675A0F"/>
    <w:rsid w:val="006807F9"/>
    <w:rsid w:val="0068231F"/>
    <w:rsid w:val="00683B4E"/>
    <w:rsid w:val="0068444C"/>
    <w:rsid w:val="00685680"/>
    <w:rsid w:val="006A1136"/>
    <w:rsid w:val="006A5133"/>
    <w:rsid w:val="006B0ABD"/>
    <w:rsid w:val="006B62F3"/>
    <w:rsid w:val="006C4AD3"/>
    <w:rsid w:val="006C7464"/>
    <w:rsid w:val="006D27EA"/>
    <w:rsid w:val="006E2BD2"/>
    <w:rsid w:val="006E6A18"/>
    <w:rsid w:val="006F5A37"/>
    <w:rsid w:val="006F744E"/>
    <w:rsid w:val="00701BF6"/>
    <w:rsid w:val="00704DFD"/>
    <w:rsid w:val="00706B7C"/>
    <w:rsid w:val="0072290C"/>
    <w:rsid w:val="00723BF4"/>
    <w:rsid w:val="00724523"/>
    <w:rsid w:val="0072491F"/>
    <w:rsid w:val="00733A61"/>
    <w:rsid w:val="007448BC"/>
    <w:rsid w:val="00744D63"/>
    <w:rsid w:val="00746309"/>
    <w:rsid w:val="00756717"/>
    <w:rsid w:val="00772246"/>
    <w:rsid w:val="00773BA5"/>
    <w:rsid w:val="007746D4"/>
    <w:rsid w:val="00774B80"/>
    <w:rsid w:val="00775996"/>
    <w:rsid w:val="00777BE0"/>
    <w:rsid w:val="00790713"/>
    <w:rsid w:val="00793995"/>
    <w:rsid w:val="00794142"/>
    <w:rsid w:val="007970E3"/>
    <w:rsid w:val="007A07EF"/>
    <w:rsid w:val="007A3215"/>
    <w:rsid w:val="007D31C1"/>
    <w:rsid w:val="007D3475"/>
    <w:rsid w:val="007D6277"/>
    <w:rsid w:val="007D6932"/>
    <w:rsid w:val="007D783C"/>
    <w:rsid w:val="007E1049"/>
    <w:rsid w:val="007E5B1A"/>
    <w:rsid w:val="007F0290"/>
    <w:rsid w:val="00801B9E"/>
    <w:rsid w:val="00805A2D"/>
    <w:rsid w:val="00805E17"/>
    <w:rsid w:val="008148DA"/>
    <w:rsid w:val="008209A8"/>
    <w:rsid w:val="008209FE"/>
    <w:rsid w:val="00823135"/>
    <w:rsid w:val="00827193"/>
    <w:rsid w:val="00842308"/>
    <w:rsid w:val="00857B11"/>
    <w:rsid w:val="00864518"/>
    <w:rsid w:val="008660BC"/>
    <w:rsid w:val="00881341"/>
    <w:rsid w:val="00882734"/>
    <w:rsid w:val="00885CBC"/>
    <w:rsid w:val="00887F0A"/>
    <w:rsid w:val="008912B2"/>
    <w:rsid w:val="008B1E2D"/>
    <w:rsid w:val="008B6B1B"/>
    <w:rsid w:val="008B7C07"/>
    <w:rsid w:val="008C156A"/>
    <w:rsid w:val="008D0336"/>
    <w:rsid w:val="008D3020"/>
    <w:rsid w:val="008E021F"/>
    <w:rsid w:val="008F366D"/>
    <w:rsid w:val="008F76DD"/>
    <w:rsid w:val="0090390F"/>
    <w:rsid w:val="00904B0F"/>
    <w:rsid w:val="009108C2"/>
    <w:rsid w:val="009151DC"/>
    <w:rsid w:val="00920154"/>
    <w:rsid w:val="0092712D"/>
    <w:rsid w:val="00936853"/>
    <w:rsid w:val="00945B4C"/>
    <w:rsid w:val="00953324"/>
    <w:rsid w:val="00955CAB"/>
    <w:rsid w:val="00955DD4"/>
    <w:rsid w:val="00955EFB"/>
    <w:rsid w:val="009604F6"/>
    <w:rsid w:val="00964806"/>
    <w:rsid w:val="0097278B"/>
    <w:rsid w:val="00972862"/>
    <w:rsid w:val="00974D21"/>
    <w:rsid w:val="009776D0"/>
    <w:rsid w:val="00981CF2"/>
    <w:rsid w:val="00984FD7"/>
    <w:rsid w:val="0099101C"/>
    <w:rsid w:val="00994184"/>
    <w:rsid w:val="009A7EF0"/>
    <w:rsid w:val="009B2122"/>
    <w:rsid w:val="009C08A7"/>
    <w:rsid w:val="009C5AAB"/>
    <w:rsid w:val="009C648D"/>
    <w:rsid w:val="009D782D"/>
    <w:rsid w:val="009D7E53"/>
    <w:rsid w:val="009E1171"/>
    <w:rsid w:val="009E3CEF"/>
    <w:rsid w:val="009E3FEE"/>
    <w:rsid w:val="009E4449"/>
    <w:rsid w:val="009F2DC1"/>
    <w:rsid w:val="009F3AAC"/>
    <w:rsid w:val="009F3CD6"/>
    <w:rsid w:val="00A01250"/>
    <w:rsid w:val="00A01D51"/>
    <w:rsid w:val="00A05FCC"/>
    <w:rsid w:val="00A06AB2"/>
    <w:rsid w:val="00A079D3"/>
    <w:rsid w:val="00A1381D"/>
    <w:rsid w:val="00A21BD2"/>
    <w:rsid w:val="00A223FA"/>
    <w:rsid w:val="00A30948"/>
    <w:rsid w:val="00A4452B"/>
    <w:rsid w:val="00A4488F"/>
    <w:rsid w:val="00A4592B"/>
    <w:rsid w:val="00A560C2"/>
    <w:rsid w:val="00A57B8A"/>
    <w:rsid w:val="00A609CE"/>
    <w:rsid w:val="00A70955"/>
    <w:rsid w:val="00A868E5"/>
    <w:rsid w:val="00A9030B"/>
    <w:rsid w:val="00A94C10"/>
    <w:rsid w:val="00A968F3"/>
    <w:rsid w:val="00AB5CF5"/>
    <w:rsid w:val="00AB73D1"/>
    <w:rsid w:val="00AC0F0B"/>
    <w:rsid w:val="00AC1E45"/>
    <w:rsid w:val="00AC7134"/>
    <w:rsid w:val="00AC7321"/>
    <w:rsid w:val="00AC79B8"/>
    <w:rsid w:val="00AD6964"/>
    <w:rsid w:val="00AD7061"/>
    <w:rsid w:val="00AD77B1"/>
    <w:rsid w:val="00AE2B88"/>
    <w:rsid w:val="00AE32F9"/>
    <w:rsid w:val="00AE4656"/>
    <w:rsid w:val="00AE76D0"/>
    <w:rsid w:val="00AF5690"/>
    <w:rsid w:val="00AF5AB9"/>
    <w:rsid w:val="00B104D5"/>
    <w:rsid w:val="00B13C77"/>
    <w:rsid w:val="00B143ED"/>
    <w:rsid w:val="00B1504C"/>
    <w:rsid w:val="00B152D8"/>
    <w:rsid w:val="00B22CD8"/>
    <w:rsid w:val="00B23710"/>
    <w:rsid w:val="00B34109"/>
    <w:rsid w:val="00B409F6"/>
    <w:rsid w:val="00B42B63"/>
    <w:rsid w:val="00B52D71"/>
    <w:rsid w:val="00B5338E"/>
    <w:rsid w:val="00B61E17"/>
    <w:rsid w:val="00B754B2"/>
    <w:rsid w:val="00B75FC7"/>
    <w:rsid w:val="00B81E89"/>
    <w:rsid w:val="00B82D1A"/>
    <w:rsid w:val="00B92373"/>
    <w:rsid w:val="00B93774"/>
    <w:rsid w:val="00B9632C"/>
    <w:rsid w:val="00BA2DAD"/>
    <w:rsid w:val="00BB0D2A"/>
    <w:rsid w:val="00BB4946"/>
    <w:rsid w:val="00BC2071"/>
    <w:rsid w:val="00BC3A08"/>
    <w:rsid w:val="00BC5A67"/>
    <w:rsid w:val="00BD07AD"/>
    <w:rsid w:val="00BD0C53"/>
    <w:rsid w:val="00BD3F4A"/>
    <w:rsid w:val="00BD4F09"/>
    <w:rsid w:val="00BD7110"/>
    <w:rsid w:val="00BE2B56"/>
    <w:rsid w:val="00BE2F9B"/>
    <w:rsid w:val="00BE3015"/>
    <w:rsid w:val="00BE3858"/>
    <w:rsid w:val="00BE791D"/>
    <w:rsid w:val="00BF74A0"/>
    <w:rsid w:val="00C1348C"/>
    <w:rsid w:val="00C1469D"/>
    <w:rsid w:val="00C20F9B"/>
    <w:rsid w:val="00C2568D"/>
    <w:rsid w:val="00C3501E"/>
    <w:rsid w:val="00C442F4"/>
    <w:rsid w:val="00C45E63"/>
    <w:rsid w:val="00C55100"/>
    <w:rsid w:val="00C551E2"/>
    <w:rsid w:val="00C57B74"/>
    <w:rsid w:val="00C57F48"/>
    <w:rsid w:val="00C60CC6"/>
    <w:rsid w:val="00C66028"/>
    <w:rsid w:val="00C66592"/>
    <w:rsid w:val="00C96ACC"/>
    <w:rsid w:val="00C96E18"/>
    <w:rsid w:val="00C973BE"/>
    <w:rsid w:val="00CA1251"/>
    <w:rsid w:val="00CA2393"/>
    <w:rsid w:val="00CA349F"/>
    <w:rsid w:val="00CA3B32"/>
    <w:rsid w:val="00CB22A9"/>
    <w:rsid w:val="00CB3FD2"/>
    <w:rsid w:val="00CD4565"/>
    <w:rsid w:val="00CE4ED2"/>
    <w:rsid w:val="00D0002B"/>
    <w:rsid w:val="00D009CA"/>
    <w:rsid w:val="00D03DFD"/>
    <w:rsid w:val="00D05A98"/>
    <w:rsid w:val="00D15B77"/>
    <w:rsid w:val="00D223B2"/>
    <w:rsid w:val="00D34116"/>
    <w:rsid w:val="00D36893"/>
    <w:rsid w:val="00D5224E"/>
    <w:rsid w:val="00D532BC"/>
    <w:rsid w:val="00D5773E"/>
    <w:rsid w:val="00D63187"/>
    <w:rsid w:val="00D66916"/>
    <w:rsid w:val="00D74793"/>
    <w:rsid w:val="00D7747D"/>
    <w:rsid w:val="00D800C7"/>
    <w:rsid w:val="00D8153B"/>
    <w:rsid w:val="00D82D88"/>
    <w:rsid w:val="00D84B48"/>
    <w:rsid w:val="00D865C7"/>
    <w:rsid w:val="00D86AEB"/>
    <w:rsid w:val="00D90B41"/>
    <w:rsid w:val="00D9315F"/>
    <w:rsid w:val="00DA2543"/>
    <w:rsid w:val="00DA3870"/>
    <w:rsid w:val="00DA69A1"/>
    <w:rsid w:val="00DA74EC"/>
    <w:rsid w:val="00DA788F"/>
    <w:rsid w:val="00DB2C37"/>
    <w:rsid w:val="00DB3A1B"/>
    <w:rsid w:val="00DB4516"/>
    <w:rsid w:val="00DC07D2"/>
    <w:rsid w:val="00DD3ECC"/>
    <w:rsid w:val="00DD49F9"/>
    <w:rsid w:val="00DF2A84"/>
    <w:rsid w:val="00DF353C"/>
    <w:rsid w:val="00DF3653"/>
    <w:rsid w:val="00E05231"/>
    <w:rsid w:val="00E120AF"/>
    <w:rsid w:val="00E133B1"/>
    <w:rsid w:val="00E15D41"/>
    <w:rsid w:val="00E307C7"/>
    <w:rsid w:val="00E317FA"/>
    <w:rsid w:val="00E31A81"/>
    <w:rsid w:val="00E43B68"/>
    <w:rsid w:val="00E45435"/>
    <w:rsid w:val="00E53773"/>
    <w:rsid w:val="00E57468"/>
    <w:rsid w:val="00E62AEC"/>
    <w:rsid w:val="00E63F5D"/>
    <w:rsid w:val="00E8793B"/>
    <w:rsid w:val="00EA01A9"/>
    <w:rsid w:val="00EA1965"/>
    <w:rsid w:val="00EB1069"/>
    <w:rsid w:val="00EB2081"/>
    <w:rsid w:val="00EB393B"/>
    <w:rsid w:val="00EC5F6E"/>
    <w:rsid w:val="00EC7D97"/>
    <w:rsid w:val="00ED0E22"/>
    <w:rsid w:val="00EF254A"/>
    <w:rsid w:val="00EF7A32"/>
    <w:rsid w:val="00F0025C"/>
    <w:rsid w:val="00F03AB8"/>
    <w:rsid w:val="00F11800"/>
    <w:rsid w:val="00F2193C"/>
    <w:rsid w:val="00F21D43"/>
    <w:rsid w:val="00F263EE"/>
    <w:rsid w:val="00F30CF9"/>
    <w:rsid w:val="00F32B49"/>
    <w:rsid w:val="00F3621A"/>
    <w:rsid w:val="00F3677D"/>
    <w:rsid w:val="00F40960"/>
    <w:rsid w:val="00F40E15"/>
    <w:rsid w:val="00F56EA9"/>
    <w:rsid w:val="00F571D6"/>
    <w:rsid w:val="00F6040C"/>
    <w:rsid w:val="00F62827"/>
    <w:rsid w:val="00F65A80"/>
    <w:rsid w:val="00F7528F"/>
    <w:rsid w:val="00F77381"/>
    <w:rsid w:val="00F84AD2"/>
    <w:rsid w:val="00F9704C"/>
    <w:rsid w:val="00FA3F8C"/>
    <w:rsid w:val="00FB4C74"/>
    <w:rsid w:val="00FB4FB7"/>
    <w:rsid w:val="00FB5EBB"/>
    <w:rsid w:val="00FB6307"/>
    <w:rsid w:val="00FC0619"/>
    <w:rsid w:val="00FC17AB"/>
    <w:rsid w:val="00FC2C4C"/>
    <w:rsid w:val="00FD5C42"/>
    <w:rsid w:val="00FF36ED"/>
    <w:rsid w:val="0F4A4610"/>
    <w:rsid w:val="3EFB0025"/>
    <w:rsid w:val="3F997872"/>
    <w:rsid w:val="3FF91DC6"/>
    <w:rsid w:val="42EBBB17"/>
    <w:rsid w:val="57CB1C12"/>
    <w:rsid w:val="5E764BD4"/>
    <w:rsid w:val="5EFD1A9A"/>
    <w:rsid w:val="5F2F761F"/>
    <w:rsid w:val="5FBDB2EE"/>
    <w:rsid w:val="67FF2B11"/>
    <w:rsid w:val="68F4D2B7"/>
    <w:rsid w:val="6EFF9332"/>
    <w:rsid w:val="77DE82AB"/>
    <w:rsid w:val="77F3121B"/>
    <w:rsid w:val="7AEF9CDC"/>
    <w:rsid w:val="7F375A53"/>
    <w:rsid w:val="7F675B67"/>
    <w:rsid w:val="7FB78DC7"/>
    <w:rsid w:val="7FBF9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59809A8"/>
  <w15:docId w15:val="{4FEFE24B-6F24-4EE5-9F89-E323F274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20"/>
    </w:pPr>
    <w:rPr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qFormat/>
    <w:pPr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rPr>
      <w:sz w:val="24"/>
    </w:rPr>
  </w:style>
  <w:style w:type="character" w:styleId="ae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 w:cs="宋体"/>
      <w:kern w:val="0"/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ac">
    <w:name w:val="脚注文本 字符"/>
    <w:basedOn w:val="a0"/>
    <w:link w:val="ab"/>
    <w:uiPriority w:val="99"/>
    <w:semiHidden/>
    <w:qFormat/>
    <w:rPr>
      <w:kern w:val="2"/>
      <w:sz w:val="18"/>
      <w:szCs w:val="18"/>
    </w:rPr>
  </w:style>
  <w:style w:type="paragraph" w:customStyle="1" w:styleId="1">
    <w:name w:val="脚注文本1"/>
    <w:basedOn w:val="a"/>
    <w:next w:val="ab"/>
    <w:uiPriority w:val="99"/>
    <w:semiHidden/>
    <w:unhideWhenUsed/>
    <w:qFormat/>
    <w:pPr>
      <w:autoSpaceDE/>
      <w:autoSpaceDN/>
      <w:snapToGrid w:val="0"/>
    </w:pPr>
    <w:rPr>
      <w:rFonts w:ascii="Calibri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WenLiang Zhang</cp:lastModifiedBy>
  <cp:revision>3</cp:revision>
  <cp:lastPrinted>2025-07-26T11:02:00Z</cp:lastPrinted>
  <dcterms:created xsi:type="dcterms:W3CDTF">2024-10-06T09:06:00Z</dcterms:created>
  <dcterms:modified xsi:type="dcterms:W3CDTF">2025-10-09T13:27:00Z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